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1.xml" ContentType="application/vnd.openxmlformats-officedocument.wordprocessingml.header+xml"/>
  <Override PartName="/word/footer1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4.xml" ContentType="application/vnd.openxmlformats-officedocument.wordprocessingml.header+xml"/>
  <Override PartName="/word/footer18.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9.xml" ContentType="application/vnd.openxmlformats-officedocument.wordprocessingml.footer+xml"/>
  <Override PartName="/word/header17.xml" ContentType="application/vnd.openxmlformats-officedocument.wordprocessingml.header+xml"/>
  <Override PartName="/word/footer20.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21.xml" ContentType="application/vnd.openxmlformats-officedocument.wordprocessingml.footer+xml"/>
  <Override PartName="/word/header20.xml" ContentType="application/vnd.openxmlformats-officedocument.wordprocessingml.header+xml"/>
  <Override PartName="/word/footer22.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23.xml" ContentType="application/vnd.openxmlformats-officedocument.wordprocessingml.header+xml"/>
  <Override PartName="/word/footer2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4C24" w:rsidRDefault="005F4C24">
      <w:pPr>
        <w:widowControl w:val="0"/>
        <w:pBdr>
          <w:top w:val="nil"/>
          <w:left w:val="nil"/>
          <w:bottom w:val="nil"/>
          <w:right w:val="nil"/>
          <w:between w:val="nil"/>
        </w:pBdr>
        <w:spacing w:after="0" w:line="276" w:lineRule="auto"/>
        <w:rPr>
          <w:color w:val="000000"/>
          <w:sz w:val="22"/>
          <w:szCs w:val="22"/>
        </w:rPr>
      </w:pPr>
      <w:bookmarkStart w:id="0" w:name="_heading=h.gjdgxs" w:colFirst="0" w:colLast="0"/>
      <w:bookmarkStart w:id="1" w:name="_GoBack"/>
      <w:bookmarkEnd w:id="0"/>
      <w:bookmarkEnd w:id="1"/>
    </w:p>
    <w:tbl>
      <w:tblPr>
        <w:tblStyle w:val="af7"/>
        <w:tblW w:w="8931" w:type="dxa"/>
        <w:tblBorders>
          <w:top w:val="nil"/>
          <w:left w:val="nil"/>
          <w:bottom w:val="nil"/>
          <w:right w:val="nil"/>
          <w:insideH w:val="nil"/>
          <w:insideV w:val="nil"/>
        </w:tblBorders>
        <w:tblLayout w:type="fixed"/>
        <w:tblLook w:val="0400" w:firstRow="0" w:lastRow="0" w:firstColumn="0" w:lastColumn="0" w:noHBand="0" w:noVBand="1"/>
      </w:tblPr>
      <w:tblGrid>
        <w:gridCol w:w="8931"/>
      </w:tblGrid>
      <w:tr w:rsidR="005F4C24">
        <w:trPr>
          <w:trHeight w:val="4712"/>
        </w:trPr>
        <w:tc>
          <w:tcPr>
            <w:tcW w:w="8931" w:type="dxa"/>
          </w:tcPr>
          <w:p w:rsidR="005F4C24" w:rsidRDefault="005F4C24">
            <w:pPr>
              <w:pStyle w:val="Subtitle"/>
            </w:pPr>
            <w:bookmarkStart w:id="2" w:name="_heading=h.1fob9te" w:colFirst="0" w:colLast="0"/>
            <w:bookmarkEnd w:id="2"/>
          </w:p>
          <w:p w:rsidR="005F4C24" w:rsidRDefault="004C2B0D">
            <w:pPr>
              <w:pStyle w:val="Title"/>
            </w:pPr>
            <w:r>
              <w:t>Annex A - Additional Security Schedule </w:t>
            </w:r>
          </w:p>
          <w:p w:rsidR="005F4C24" w:rsidRDefault="005F4C24"/>
          <w:p w:rsidR="005F4C24" w:rsidRDefault="004C2B0D">
            <w:pPr>
              <w:pStyle w:val="Title"/>
            </w:pPr>
            <w:r>
              <w:t>Security Management: Supplier-led Assurance</w:t>
            </w:r>
          </w:p>
          <w:p w:rsidR="005F4C24" w:rsidRDefault="005F4C24">
            <w:pPr>
              <w:pBdr>
                <w:top w:val="nil"/>
                <w:left w:val="nil"/>
                <w:bottom w:val="nil"/>
                <w:right w:val="nil"/>
                <w:between w:val="nil"/>
              </w:pBdr>
              <w:jc w:val="right"/>
              <w:rPr>
                <w:rFonts w:ascii="Arial" w:eastAsia="Arial" w:hAnsi="Arial" w:cs="Arial"/>
                <w:b w:val="0"/>
                <w:color w:val="7D7D7D"/>
                <w:sz w:val="32"/>
                <w:szCs w:val="32"/>
              </w:rPr>
            </w:pPr>
          </w:p>
          <w:p w:rsidR="005F4C24" w:rsidRDefault="004C2B0D">
            <w:pPr>
              <w:pBdr>
                <w:top w:val="nil"/>
                <w:left w:val="nil"/>
                <w:bottom w:val="nil"/>
                <w:right w:val="nil"/>
                <w:between w:val="nil"/>
              </w:pBdr>
              <w:tabs>
                <w:tab w:val="left" w:pos="4320"/>
              </w:tabs>
              <w:spacing w:before="360" w:after="240"/>
              <w:jc w:val="right"/>
              <w:rPr>
                <w:rFonts w:ascii="Arial" w:eastAsia="Arial" w:hAnsi="Arial" w:cs="Arial"/>
                <w:b w:val="0"/>
                <w:color w:val="7D7D7D"/>
                <w:sz w:val="32"/>
                <w:szCs w:val="32"/>
                <w:highlight w:val="yellow"/>
              </w:rPr>
            </w:pPr>
            <w:r w:rsidRPr="00B93386">
              <w:rPr>
                <w:rFonts w:ascii="Arial" w:eastAsia="Arial" w:hAnsi="Arial" w:cs="Arial"/>
                <w:b w:val="0"/>
                <w:color w:val="7D7D7D"/>
                <w:sz w:val="32"/>
                <w:szCs w:val="32"/>
              </w:rPr>
              <w:t>Dated</w:t>
            </w:r>
            <w:r w:rsidR="00B93386" w:rsidRPr="00B93386">
              <w:rPr>
                <w:rFonts w:ascii="Arial" w:eastAsia="Arial" w:hAnsi="Arial" w:cs="Arial"/>
                <w:b w:val="0"/>
                <w:color w:val="7D7D7D"/>
                <w:sz w:val="32"/>
                <w:szCs w:val="32"/>
              </w:rPr>
              <w:t xml:space="preserve"> 11</w:t>
            </w:r>
            <w:r w:rsidR="00B93386" w:rsidRPr="00B93386">
              <w:rPr>
                <w:rFonts w:ascii="Arial" w:eastAsia="Arial" w:hAnsi="Arial" w:cs="Arial"/>
                <w:b w:val="0"/>
                <w:color w:val="7D7D7D"/>
                <w:sz w:val="32"/>
                <w:szCs w:val="32"/>
                <w:vertAlign w:val="superscript"/>
              </w:rPr>
              <w:t>th</w:t>
            </w:r>
            <w:r w:rsidR="00B93386" w:rsidRPr="00B93386">
              <w:rPr>
                <w:rFonts w:ascii="Arial" w:eastAsia="Arial" w:hAnsi="Arial" w:cs="Arial"/>
                <w:b w:val="0"/>
                <w:color w:val="7D7D7D"/>
                <w:sz w:val="32"/>
                <w:szCs w:val="32"/>
              </w:rPr>
              <w:t xml:space="preserve"> June </w:t>
            </w:r>
            <w:r w:rsidRPr="00B93386">
              <w:rPr>
                <w:rFonts w:ascii="Arial" w:eastAsia="Arial" w:hAnsi="Arial" w:cs="Arial"/>
                <w:b w:val="0"/>
                <w:color w:val="7D7D7D"/>
                <w:sz w:val="32"/>
                <w:szCs w:val="32"/>
              </w:rPr>
              <w:t>2023</w:t>
            </w:r>
          </w:p>
        </w:tc>
      </w:tr>
    </w:tbl>
    <w:p w:rsidR="005F4C24" w:rsidRDefault="005F4C24">
      <w:pPr>
        <w:sectPr w:rsidR="005F4C24">
          <w:headerReference w:type="default" r:id="rId8"/>
          <w:footerReference w:type="default" r:id="rId9"/>
          <w:pgSz w:w="11906" w:h="16838"/>
          <w:pgMar w:top="851" w:right="851" w:bottom="851" w:left="851" w:header="851" w:footer="851" w:gutter="0"/>
          <w:pgNumType w:start="1"/>
          <w:cols w:space="720"/>
        </w:sectPr>
      </w:pPr>
    </w:p>
    <w:p w:rsidR="005F4C24" w:rsidRDefault="004C2B0D">
      <w:pPr>
        <w:keepNext/>
        <w:pBdr>
          <w:top w:val="nil"/>
          <w:left w:val="nil"/>
          <w:bottom w:val="nil"/>
          <w:right w:val="nil"/>
          <w:between w:val="nil"/>
        </w:pBdr>
        <w:rPr>
          <w:rFonts w:ascii="Cambria" w:eastAsia="Cambria" w:hAnsi="Cambria" w:cs="Cambria"/>
          <w:color w:val="000000"/>
          <w:sz w:val="36"/>
          <w:szCs w:val="36"/>
        </w:rPr>
      </w:pPr>
      <w:r>
        <w:rPr>
          <w:rFonts w:ascii="Cambria" w:eastAsia="Cambria" w:hAnsi="Cambria" w:cs="Cambria"/>
          <w:color w:val="000000"/>
          <w:sz w:val="36"/>
          <w:szCs w:val="36"/>
        </w:rPr>
        <w:lastRenderedPageBreak/>
        <w:t>Contents</w:t>
      </w:r>
    </w:p>
    <w:p w:rsidR="005F4C24" w:rsidRDefault="001D0A3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44sinio">
        <w:r w:rsidR="004C2B0D">
          <w:rPr>
            <w:color w:val="0563C1"/>
            <w:u w:val="single"/>
          </w:rPr>
          <w:t>1</w:t>
        </w:r>
      </w:hyperlink>
      <w:hyperlink w:anchor="_heading=h.44sinio">
        <w:r w:rsidR="004C2B0D">
          <w:rPr>
            <w:rFonts w:ascii="Calibri" w:eastAsia="Calibri" w:hAnsi="Calibri" w:cs="Calibri"/>
            <w:color w:val="000000"/>
            <w:sz w:val="22"/>
            <w:szCs w:val="22"/>
          </w:rPr>
          <w:tab/>
        </w:r>
      </w:hyperlink>
      <w:hyperlink w:anchor="_heading=h.44sinio">
        <w:r w:rsidR="004C2B0D">
          <w:rPr>
            <w:color w:val="0563C1"/>
            <w:u w:val="single"/>
          </w:rPr>
          <w:t>Authority Options</w:t>
        </w:r>
      </w:hyperlink>
      <w:hyperlink w:anchor="_heading=h.44sinio">
        <w:r w:rsidR="004C2B0D">
          <w:rPr>
            <w:color w:val="000000"/>
          </w:rPr>
          <w:tab/>
        </w:r>
      </w:hyperlink>
    </w:p>
    <w:p w:rsidR="005F4C24" w:rsidRDefault="001D0A3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1y810tw">
        <w:r w:rsidR="004C2B0D">
          <w:rPr>
            <w:color w:val="0563C1"/>
            <w:u w:val="single"/>
          </w:rPr>
          <w:t>2</w:t>
        </w:r>
      </w:hyperlink>
      <w:hyperlink w:anchor="_heading=h.1y810tw">
        <w:r w:rsidR="004C2B0D">
          <w:rPr>
            <w:rFonts w:ascii="Calibri" w:eastAsia="Calibri" w:hAnsi="Calibri" w:cs="Calibri"/>
            <w:color w:val="000000"/>
            <w:sz w:val="22"/>
            <w:szCs w:val="22"/>
          </w:rPr>
          <w:tab/>
        </w:r>
      </w:hyperlink>
      <w:hyperlink w:anchor="_heading=h.1y810tw">
        <w:r w:rsidR="004C2B0D">
          <w:rPr>
            <w:color w:val="0563C1"/>
            <w:u w:val="single"/>
          </w:rPr>
          <w:t>Definitions</w:t>
        </w:r>
      </w:hyperlink>
      <w:hyperlink w:anchor="_heading=h.1y810tw">
        <w:r w:rsidR="004C2B0D">
          <w:rPr>
            <w:color w:val="000000"/>
          </w:rPr>
          <w:tab/>
        </w:r>
      </w:hyperlink>
    </w:p>
    <w:p w:rsidR="005F4C24" w:rsidRDefault="001D0A3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1pxezwc">
        <w:r w:rsidR="004C2B0D">
          <w:rPr>
            <w:color w:val="0563C1"/>
            <w:u w:val="single"/>
          </w:rPr>
          <w:t>3</w:t>
        </w:r>
      </w:hyperlink>
      <w:hyperlink w:anchor="_heading=h.1pxezwc">
        <w:r w:rsidR="004C2B0D">
          <w:rPr>
            <w:rFonts w:ascii="Calibri" w:eastAsia="Calibri" w:hAnsi="Calibri" w:cs="Calibri"/>
            <w:color w:val="000000"/>
            <w:sz w:val="22"/>
            <w:szCs w:val="22"/>
          </w:rPr>
          <w:tab/>
        </w:r>
      </w:hyperlink>
      <w:hyperlink w:anchor="_heading=h.1pxezwc">
        <w:r w:rsidR="004C2B0D">
          <w:rPr>
            <w:color w:val="0563C1"/>
            <w:u w:val="single"/>
          </w:rPr>
          <w:t>Introduction</w:t>
        </w:r>
      </w:hyperlink>
      <w:hyperlink w:anchor="_heading=h.1pxezwc">
        <w:r w:rsidR="004C2B0D">
          <w:rPr>
            <w:color w:val="000000"/>
          </w:rPr>
          <w:tab/>
        </w:r>
      </w:hyperlink>
    </w:p>
    <w:p w:rsidR="005F4C24" w:rsidRDefault="001D0A3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49x2ik5">
        <w:r w:rsidR="004C2B0D">
          <w:rPr>
            <w:color w:val="0563C1"/>
            <w:u w:val="single"/>
          </w:rPr>
          <w:t>4</w:t>
        </w:r>
      </w:hyperlink>
      <w:hyperlink w:anchor="_heading=h.49x2ik5">
        <w:r w:rsidR="004C2B0D">
          <w:rPr>
            <w:rFonts w:ascii="Calibri" w:eastAsia="Calibri" w:hAnsi="Calibri" w:cs="Calibri"/>
            <w:color w:val="000000"/>
            <w:sz w:val="22"/>
            <w:szCs w:val="22"/>
          </w:rPr>
          <w:tab/>
        </w:r>
      </w:hyperlink>
      <w:hyperlink w:anchor="_heading=h.49x2ik5">
        <w:r w:rsidR="004C2B0D">
          <w:rPr>
            <w:color w:val="0563C1"/>
            <w:u w:val="single"/>
          </w:rPr>
          <w:t>Principles of security</w:t>
        </w:r>
      </w:hyperlink>
      <w:hyperlink w:anchor="_heading=h.49x2ik5">
        <w:r w:rsidR="004C2B0D">
          <w:rPr>
            <w:color w:val="000000"/>
          </w:rPr>
          <w:tab/>
        </w:r>
      </w:hyperlink>
    </w:p>
    <w:p w:rsidR="005F4C24" w:rsidRDefault="001D0A3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3o7alnk">
        <w:r w:rsidR="004C2B0D">
          <w:rPr>
            <w:color w:val="0563C1"/>
            <w:u w:val="single"/>
          </w:rPr>
          <w:t>5</w:t>
        </w:r>
      </w:hyperlink>
      <w:hyperlink w:anchor="_heading=h.3o7alnk">
        <w:r w:rsidR="004C2B0D">
          <w:rPr>
            <w:rFonts w:ascii="Calibri" w:eastAsia="Calibri" w:hAnsi="Calibri" w:cs="Calibri"/>
            <w:color w:val="000000"/>
            <w:sz w:val="22"/>
            <w:szCs w:val="22"/>
          </w:rPr>
          <w:tab/>
        </w:r>
      </w:hyperlink>
      <w:hyperlink w:anchor="_heading=h.3o7alnk">
        <w:r w:rsidR="004C2B0D">
          <w:rPr>
            <w:color w:val="0563C1"/>
            <w:u w:val="single"/>
          </w:rPr>
          <w:t>Security requirements</w:t>
        </w:r>
      </w:hyperlink>
      <w:hyperlink w:anchor="_heading=h.3o7alnk">
        <w:r w:rsidR="004C2B0D">
          <w:rPr>
            <w:color w:val="000000"/>
          </w:rPr>
          <w:tab/>
        </w:r>
      </w:hyperlink>
    </w:p>
    <w:p w:rsidR="005F4C24" w:rsidRDefault="001D0A3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41mghml">
        <w:r w:rsidR="004C2B0D">
          <w:rPr>
            <w:color w:val="0563C1"/>
            <w:u w:val="single"/>
          </w:rPr>
          <w:t>6</w:t>
        </w:r>
      </w:hyperlink>
      <w:hyperlink w:anchor="_heading=h.41mghml">
        <w:r w:rsidR="004C2B0D">
          <w:rPr>
            <w:rFonts w:ascii="Calibri" w:eastAsia="Calibri" w:hAnsi="Calibri" w:cs="Calibri"/>
            <w:color w:val="000000"/>
            <w:sz w:val="22"/>
            <w:szCs w:val="22"/>
          </w:rPr>
          <w:tab/>
        </w:r>
      </w:hyperlink>
      <w:hyperlink w:anchor="_heading=h.41mghml">
        <w:r w:rsidR="004C2B0D">
          <w:rPr>
            <w:color w:val="0563C1"/>
            <w:u w:val="single"/>
          </w:rPr>
          <w:t>Authority to proceed</w:t>
        </w:r>
      </w:hyperlink>
      <w:hyperlink w:anchor="_heading=h.41mghml">
        <w:r w:rsidR="004C2B0D">
          <w:rPr>
            <w:color w:val="000000"/>
          </w:rPr>
          <w:tab/>
        </w:r>
      </w:hyperlink>
    </w:p>
    <w:p w:rsidR="005F4C24" w:rsidRDefault="001D0A3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vx1227">
        <w:r w:rsidR="004C2B0D">
          <w:rPr>
            <w:color w:val="0563C1"/>
            <w:u w:val="single"/>
          </w:rPr>
          <w:t>7</w:t>
        </w:r>
      </w:hyperlink>
      <w:hyperlink w:anchor="_heading=h.vx1227">
        <w:r w:rsidR="004C2B0D">
          <w:rPr>
            <w:rFonts w:ascii="Calibri" w:eastAsia="Calibri" w:hAnsi="Calibri" w:cs="Calibri"/>
            <w:color w:val="000000"/>
            <w:sz w:val="22"/>
            <w:szCs w:val="22"/>
          </w:rPr>
          <w:tab/>
        </w:r>
      </w:hyperlink>
      <w:hyperlink w:anchor="_heading=h.vx1227">
        <w:r w:rsidR="004C2B0D">
          <w:rPr>
            <w:color w:val="0563C1"/>
            <w:u w:val="single"/>
          </w:rPr>
          <w:t>Supplier confirmation</w:t>
        </w:r>
      </w:hyperlink>
      <w:hyperlink w:anchor="_heading=h.vx1227">
        <w:r w:rsidR="004C2B0D">
          <w:rPr>
            <w:color w:val="000000"/>
          </w:rPr>
          <w:tab/>
        </w:r>
      </w:hyperlink>
    </w:p>
    <w:p w:rsidR="005F4C24" w:rsidRDefault="001D0A3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4f1mdlm">
        <w:r w:rsidR="004C2B0D">
          <w:rPr>
            <w:color w:val="0563C1"/>
            <w:u w:val="single"/>
          </w:rPr>
          <w:t>8</w:t>
        </w:r>
      </w:hyperlink>
      <w:hyperlink w:anchor="_heading=h.4f1mdlm">
        <w:r w:rsidR="004C2B0D">
          <w:rPr>
            <w:rFonts w:ascii="Calibri" w:eastAsia="Calibri" w:hAnsi="Calibri" w:cs="Calibri"/>
            <w:color w:val="000000"/>
            <w:sz w:val="22"/>
            <w:szCs w:val="22"/>
          </w:rPr>
          <w:tab/>
        </w:r>
      </w:hyperlink>
      <w:hyperlink w:anchor="_heading=h.4f1mdlm">
        <w:r w:rsidR="004C2B0D">
          <w:rPr>
            <w:color w:val="0563C1"/>
            <w:u w:val="single"/>
          </w:rPr>
          <w:t>Governance</w:t>
        </w:r>
      </w:hyperlink>
      <w:hyperlink w:anchor="_heading=h.4f1mdlm">
        <w:r w:rsidR="004C2B0D">
          <w:rPr>
            <w:color w:val="000000"/>
          </w:rPr>
          <w:tab/>
        </w:r>
      </w:hyperlink>
    </w:p>
    <w:p w:rsidR="005F4C24" w:rsidRDefault="001D0A3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3tbugp1">
        <w:r w:rsidR="004C2B0D">
          <w:rPr>
            <w:color w:val="0563C1"/>
            <w:u w:val="single"/>
          </w:rPr>
          <w:t>9</w:t>
        </w:r>
      </w:hyperlink>
      <w:hyperlink w:anchor="_heading=h.3tbugp1">
        <w:r w:rsidR="004C2B0D">
          <w:rPr>
            <w:rFonts w:ascii="Calibri" w:eastAsia="Calibri" w:hAnsi="Calibri" w:cs="Calibri"/>
            <w:color w:val="000000"/>
            <w:sz w:val="22"/>
            <w:szCs w:val="22"/>
          </w:rPr>
          <w:tab/>
        </w:r>
      </w:hyperlink>
      <w:hyperlink w:anchor="_heading=h.3tbugp1">
        <w:r w:rsidR="004C2B0D">
          <w:rPr>
            <w:color w:val="0563C1"/>
            <w:u w:val="single"/>
          </w:rPr>
          <w:t>Personnel</w:t>
        </w:r>
      </w:hyperlink>
      <w:hyperlink w:anchor="_heading=h.3tbugp1">
        <w:r w:rsidR="004C2B0D">
          <w:rPr>
            <w:color w:val="000000"/>
          </w:rPr>
          <w:tab/>
        </w:r>
      </w:hyperlink>
    </w:p>
    <w:p w:rsidR="005F4C24" w:rsidRDefault="001D0A3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28h4qwu">
        <w:r w:rsidR="004C2B0D">
          <w:rPr>
            <w:color w:val="0563C1"/>
            <w:u w:val="single"/>
          </w:rPr>
          <w:t>10</w:t>
        </w:r>
      </w:hyperlink>
      <w:hyperlink w:anchor="_heading=h.28h4qwu">
        <w:r w:rsidR="004C2B0D">
          <w:rPr>
            <w:rFonts w:ascii="Calibri" w:eastAsia="Calibri" w:hAnsi="Calibri" w:cs="Calibri"/>
            <w:color w:val="000000"/>
            <w:sz w:val="22"/>
            <w:szCs w:val="22"/>
          </w:rPr>
          <w:tab/>
        </w:r>
      </w:hyperlink>
      <w:hyperlink w:anchor="_heading=h.28h4qwu">
        <w:r w:rsidR="004C2B0D">
          <w:rPr>
            <w:color w:val="0563C1"/>
            <w:u w:val="single"/>
          </w:rPr>
          <w:t>Sub-contractors</w:t>
        </w:r>
      </w:hyperlink>
      <w:hyperlink w:anchor="_heading=h.28h4qwu">
        <w:r w:rsidR="004C2B0D">
          <w:rPr>
            <w:color w:val="000000"/>
          </w:rPr>
          <w:tab/>
        </w:r>
      </w:hyperlink>
    </w:p>
    <w:p w:rsidR="005F4C24" w:rsidRDefault="001D0A3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1mrcu09">
        <w:r w:rsidR="004C2B0D">
          <w:rPr>
            <w:color w:val="0563C1"/>
            <w:u w:val="single"/>
          </w:rPr>
          <w:t>11</w:t>
        </w:r>
      </w:hyperlink>
      <w:hyperlink w:anchor="_heading=h.1mrcu09">
        <w:r w:rsidR="004C2B0D">
          <w:rPr>
            <w:rFonts w:ascii="Calibri" w:eastAsia="Calibri" w:hAnsi="Calibri" w:cs="Calibri"/>
            <w:color w:val="000000"/>
            <w:sz w:val="22"/>
            <w:szCs w:val="22"/>
          </w:rPr>
          <w:tab/>
        </w:r>
      </w:hyperlink>
      <w:hyperlink w:anchor="_heading=h.1mrcu09">
        <w:r w:rsidR="004C2B0D">
          <w:rPr>
            <w:color w:val="0563C1"/>
            <w:u w:val="single"/>
          </w:rPr>
          <w:t>Supplier Information Management System</w:t>
        </w:r>
      </w:hyperlink>
      <w:hyperlink w:anchor="_heading=h.1mrcu09">
        <w:r w:rsidR="004C2B0D">
          <w:rPr>
            <w:color w:val="000000"/>
          </w:rPr>
          <w:tab/>
        </w:r>
      </w:hyperlink>
    </w:p>
    <w:p w:rsidR="005F4C24" w:rsidRDefault="001D0A3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3l18frh">
        <w:r w:rsidR="004C2B0D">
          <w:rPr>
            <w:color w:val="0563C1"/>
            <w:u w:val="single"/>
          </w:rPr>
          <w:t>12</w:t>
        </w:r>
      </w:hyperlink>
      <w:hyperlink w:anchor="_heading=h.3l18frh">
        <w:r w:rsidR="004C2B0D">
          <w:rPr>
            <w:rFonts w:ascii="Calibri" w:eastAsia="Calibri" w:hAnsi="Calibri" w:cs="Calibri"/>
            <w:color w:val="000000"/>
            <w:sz w:val="22"/>
            <w:szCs w:val="22"/>
          </w:rPr>
          <w:tab/>
        </w:r>
      </w:hyperlink>
      <w:hyperlink w:anchor="_heading=h.3l18frh">
        <w:r w:rsidR="004C2B0D">
          <w:rPr>
            <w:color w:val="0563C1"/>
            <w:u w:val="single"/>
          </w:rPr>
          <w:t>Certification Requirements</w:t>
        </w:r>
      </w:hyperlink>
      <w:hyperlink w:anchor="_heading=h.3l18frh">
        <w:r w:rsidR="004C2B0D">
          <w:rPr>
            <w:color w:val="000000"/>
          </w:rPr>
          <w:tab/>
        </w:r>
      </w:hyperlink>
    </w:p>
    <w:p w:rsidR="005F4C24" w:rsidRDefault="001D0A3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3ygebqi">
        <w:r w:rsidR="004C2B0D">
          <w:rPr>
            <w:color w:val="0563C1"/>
            <w:u w:val="single"/>
          </w:rPr>
          <w:t>13</w:t>
        </w:r>
      </w:hyperlink>
      <w:hyperlink w:anchor="_heading=h.3ygebqi">
        <w:r w:rsidR="004C2B0D">
          <w:rPr>
            <w:rFonts w:ascii="Calibri" w:eastAsia="Calibri" w:hAnsi="Calibri" w:cs="Calibri"/>
            <w:color w:val="000000"/>
            <w:sz w:val="22"/>
            <w:szCs w:val="22"/>
          </w:rPr>
          <w:tab/>
        </w:r>
      </w:hyperlink>
      <w:hyperlink w:anchor="_heading=h.3ygebqi">
        <w:r w:rsidR="004C2B0D">
          <w:rPr>
            <w:color w:val="0563C1"/>
            <w:u w:val="single"/>
          </w:rPr>
          <w:t>Security Management Plan</w:t>
        </w:r>
      </w:hyperlink>
      <w:hyperlink w:anchor="_heading=h.3ygebqi">
        <w:r w:rsidR="004C2B0D">
          <w:rPr>
            <w:color w:val="000000"/>
          </w:rPr>
          <w:tab/>
        </w:r>
      </w:hyperlink>
    </w:p>
    <w:p w:rsidR="005F4C24" w:rsidRDefault="001D0A3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25b2l0r">
        <w:r w:rsidR="004C2B0D">
          <w:rPr>
            <w:color w:val="0563C1"/>
            <w:u w:val="single"/>
          </w:rPr>
          <w:t>14</w:t>
        </w:r>
      </w:hyperlink>
      <w:hyperlink w:anchor="_heading=h.25b2l0r">
        <w:r w:rsidR="004C2B0D">
          <w:rPr>
            <w:rFonts w:ascii="Calibri" w:eastAsia="Calibri" w:hAnsi="Calibri" w:cs="Calibri"/>
            <w:color w:val="000000"/>
            <w:sz w:val="22"/>
            <w:szCs w:val="22"/>
          </w:rPr>
          <w:tab/>
        </w:r>
      </w:hyperlink>
      <w:hyperlink w:anchor="_heading=h.25b2l0r">
        <w:r w:rsidR="004C2B0D">
          <w:rPr>
            <w:color w:val="0563C1"/>
            <w:u w:val="single"/>
          </w:rPr>
          <w:t>Monitoring and updating Security Management Plan</w:t>
        </w:r>
      </w:hyperlink>
      <w:hyperlink w:anchor="_heading=h.25b2l0r">
        <w:r w:rsidR="004C2B0D">
          <w:rPr>
            <w:color w:val="000000"/>
          </w:rPr>
          <w:tab/>
        </w:r>
      </w:hyperlink>
    </w:p>
    <w:p w:rsidR="005F4C24" w:rsidRDefault="001D0A3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3hv69ve">
        <w:r w:rsidR="004C2B0D">
          <w:rPr>
            <w:color w:val="0563C1"/>
            <w:u w:val="single"/>
          </w:rPr>
          <w:t>15</w:t>
        </w:r>
      </w:hyperlink>
      <w:hyperlink w:anchor="_heading=h.3hv69ve">
        <w:r w:rsidR="004C2B0D">
          <w:rPr>
            <w:rFonts w:ascii="Calibri" w:eastAsia="Calibri" w:hAnsi="Calibri" w:cs="Calibri"/>
            <w:color w:val="000000"/>
            <w:sz w:val="22"/>
            <w:szCs w:val="22"/>
          </w:rPr>
          <w:tab/>
        </w:r>
      </w:hyperlink>
      <w:hyperlink w:anchor="_heading=h.3hv69ve">
        <w:r w:rsidR="004C2B0D">
          <w:rPr>
            <w:color w:val="0563C1"/>
            <w:u w:val="single"/>
          </w:rPr>
          <w:t>Review and approval of Security Management Plan</w:t>
        </w:r>
      </w:hyperlink>
      <w:hyperlink w:anchor="_heading=h.3hv69ve">
        <w:r w:rsidR="004C2B0D">
          <w:rPr>
            <w:color w:val="000000"/>
          </w:rPr>
          <w:tab/>
        </w:r>
      </w:hyperlink>
    </w:p>
    <w:p w:rsidR="005F4C24" w:rsidRDefault="001D0A3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2w5ecyt">
        <w:r w:rsidR="004C2B0D">
          <w:rPr>
            <w:color w:val="0563C1"/>
            <w:u w:val="single"/>
          </w:rPr>
          <w:t>16</w:t>
        </w:r>
      </w:hyperlink>
      <w:hyperlink w:anchor="_heading=h.2w5ecyt">
        <w:r w:rsidR="004C2B0D">
          <w:rPr>
            <w:rFonts w:ascii="Calibri" w:eastAsia="Calibri" w:hAnsi="Calibri" w:cs="Calibri"/>
            <w:color w:val="000000"/>
            <w:sz w:val="22"/>
            <w:szCs w:val="22"/>
          </w:rPr>
          <w:tab/>
        </w:r>
      </w:hyperlink>
      <w:hyperlink w:anchor="_heading=h.2w5ecyt">
        <w:r w:rsidR="004C2B0D">
          <w:rPr>
            <w:color w:val="0563C1"/>
            <w:u w:val="single"/>
          </w:rPr>
          <w:t>Changes to the Supplier Information Management System</w:t>
        </w:r>
      </w:hyperlink>
      <w:hyperlink w:anchor="_heading=h.2w5ecyt">
        <w:r w:rsidR="004C2B0D">
          <w:rPr>
            <w:color w:val="000000"/>
          </w:rPr>
          <w:tab/>
        </w:r>
      </w:hyperlink>
    </w:p>
    <w:p w:rsidR="005F4C24" w:rsidRDefault="001D0A3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39kk8xu">
        <w:r w:rsidR="004C2B0D">
          <w:rPr>
            <w:color w:val="0563C1"/>
            <w:u w:val="single"/>
          </w:rPr>
          <w:t>17</w:t>
        </w:r>
      </w:hyperlink>
      <w:hyperlink w:anchor="_heading=h.39kk8xu">
        <w:r w:rsidR="004C2B0D">
          <w:rPr>
            <w:rFonts w:ascii="Calibri" w:eastAsia="Calibri" w:hAnsi="Calibri" w:cs="Calibri"/>
            <w:color w:val="000000"/>
            <w:sz w:val="22"/>
            <w:szCs w:val="22"/>
          </w:rPr>
          <w:tab/>
        </w:r>
      </w:hyperlink>
      <w:hyperlink w:anchor="_heading=h.39kk8xu">
        <w:r w:rsidR="004C2B0D">
          <w:rPr>
            <w:color w:val="0563C1"/>
            <w:u w:val="single"/>
          </w:rPr>
          <w:t>Remediation Action Plan</w:t>
        </w:r>
      </w:hyperlink>
      <w:hyperlink w:anchor="_heading=h.39kk8xu">
        <w:r w:rsidR="004C2B0D">
          <w:rPr>
            <w:color w:val="000000"/>
          </w:rPr>
          <w:tab/>
        </w:r>
      </w:hyperlink>
    </w:p>
    <w:p w:rsidR="005F4C24" w:rsidRDefault="001D0A3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48pi1tg">
        <w:r w:rsidR="004C2B0D">
          <w:rPr>
            <w:color w:val="0563C1"/>
            <w:u w:val="single"/>
          </w:rPr>
          <w:t>18</w:t>
        </w:r>
      </w:hyperlink>
      <w:hyperlink w:anchor="_heading=h.48pi1tg">
        <w:r w:rsidR="004C2B0D">
          <w:rPr>
            <w:rFonts w:ascii="Calibri" w:eastAsia="Calibri" w:hAnsi="Calibri" w:cs="Calibri"/>
            <w:color w:val="000000"/>
            <w:sz w:val="22"/>
            <w:szCs w:val="22"/>
          </w:rPr>
          <w:tab/>
        </w:r>
      </w:hyperlink>
      <w:hyperlink w:anchor="_heading=h.48pi1tg">
        <w:r w:rsidR="004C2B0D">
          <w:rPr>
            <w:color w:val="0563C1"/>
            <w:u w:val="single"/>
          </w:rPr>
          <w:t>Independent Security Adviser</w:t>
        </w:r>
      </w:hyperlink>
      <w:hyperlink w:anchor="_heading=h.48pi1tg">
        <w:r w:rsidR="004C2B0D">
          <w:rPr>
            <w:color w:val="000000"/>
          </w:rPr>
          <w:tab/>
        </w:r>
      </w:hyperlink>
    </w:p>
    <w:p w:rsidR="005F4C24" w:rsidRDefault="001D0A3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2nusc19">
        <w:r w:rsidR="004C2B0D">
          <w:rPr>
            <w:color w:val="0563C1"/>
            <w:u w:val="single"/>
          </w:rPr>
          <w:t>19</w:t>
        </w:r>
      </w:hyperlink>
      <w:hyperlink w:anchor="_heading=h.2nusc19">
        <w:r w:rsidR="004C2B0D">
          <w:rPr>
            <w:rFonts w:ascii="Calibri" w:eastAsia="Calibri" w:hAnsi="Calibri" w:cs="Calibri"/>
            <w:color w:val="000000"/>
            <w:sz w:val="22"/>
            <w:szCs w:val="22"/>
          </w:rPr>
          <w:tab/>
        </w:r>
      </w:hyperlink>
      <w:hyperlink w:anchor="_heading=h.2nusc19">
        <w:r w:rsidR="004C2B0D">
          <w:rPr>
            <w:color w:val="0563C1"/>
            <w:u w:val="single"/>
          </w:rPr>
          <w:t>Withholding of Charges</w:t>
        </w:r>
      </w:hyperlink>
      <w:hyperlink w:anchor="_heading=h.2nusc19">
        <w:r w:rsidR="004C2B0D">
          <w:rPr>
            <w:color w:val="000000"/>
          </w:rPr>
          <w:tab/>
        </w:r>
      </w:hyperlink>
    </w:p>
    <w:p w:rsidR="005F4C24" w:rsidRDefault="001D0A3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2"/>
          <w:szCs w:val="22"/>
        </w:rPr>
      </w:pPr>
      <w:hyperlink w:anchor="_heading=h.2250f4o">
        <w:r w:rsidR="004C2B0D">
          <w:rPr>
            <w:color w:val="0563C1"/>
            <w:u w:val="single"/>
          </w:rPr>
          <w:t>20</w:t>
        </w:r>
      </w:hyperlink>
      <w:hyperlink w:anchor="_heading=h.2250f4o">
        <w:r w:rsidR="004C2B0D">
          <w:rPr>
            <w:rFonts w:ascii="Calibri" w:eastAsia="Calibri" w:hAnsi="Calibri" w:cs="Calibri"/>
            <w:color w:val="000000"/>
            <w:sz w:val="22"/>
            <w:szCs w:val="22"/>
          </w:rPr>
          <w:tab/>
        </w:r>
      </w:hyperlink>
      <w:hyperlink w:anchor="_heading=h.2250f4o">
        <w:r w:rsidR="004C2B0D">
          <w:rPr>
            <w:color w:val="0563C1"/>
            <w:u w:val="single"/>
          </w:rPr>
          <w:t>Access to Authority System</w:t>
        </w:r>
      </w:hyperlink>
      <w:hyperlink w:anchor="_heading=h.2250f4o">
        <w:r w:rsidR="004C2B0D">
          <w:rPr>
            <w:color w:val="000000"/>
          </w:rPr>
          <w:tab/>
        </w:r>
      </w:hyperlink>
    </w:p>
    <w:p w:rsidR="005F4C24" w:rsidRDefault="001D0A32">
      <w:pPr>
        <w:pBdr>
          <w:top w:val="nil"/>
          <w:left w:val="nil"/>
          <w:bottom w:val="nil"/>
          <w:right w:val="nil"/>
          <w:between w:val="nil"/>
        </w:pBdr>
        <w:tabs>
          <w:tab w:val="right" w:pos="9029"/>
        </w:tabs>
        <w:spacing w:after="120"/>
        <w:rPr>
          <w:rFonts w:ascii="Calibri" w:eastAsia="Calibri" w:hAnsi="Calibri" w:cs="Calibri"/>
          <w:color w:val="000000"/>
          <w:sz w:val="22"/>
          <w:szCs w:val="22"/>
        </w:rPr>
      </w:pPr>
      <w:hyperlink w:anchor="_heading=h.1gf8i83">
        <w:r w:rsidR="004C2B0D">
          <w:rPr>
            <w:smallCaps/>
            <w:color w:val="0563C1"/>
            <w:u w:val="single"/>
          </w:rPr>
          <w:t>Signature page</w:t>
        </w:r>
      </w:hyperlink>
      <w:hyperlink w:anchor="_heading=h.1gf8i83">
        <w:r w:rsidR="004C2B0D">
          <w:rPr>
            <w:smallCaps/>
            <w:color w:val="000000"/>
          </w:rPr>
          <w:tab/>
        </w:r>
      </w:hyperlink>
    </w:p>
    <w:p w:rsidR="005F4C24" w:rsidRDefault="005F4C24">
      <w:pPr>
        <w:spacing w:after="0"/>
      </w:pPr>
    </w:p>
    <w:p w:rsidR="005F4C24" w:rsidRDefault="005F4C24">
      <w:pPr>
        <w:spacing w:after="0"/>
        <w:rPr>
          <w:color w:val="7D7D7D"/>
        </w:rPr>
      </w:pPr>
    </w:p>
    <w:p w:rsidR="005F4C24" w:rsidRDefault="004C2B0D">
      <w:pPr>
        <w:spacing w:after="120"/>
        <w:rPr>
          <w:color w:val="7D7D7D"/>
        </w:rPr>
      </w:pPr>
      <w:r>
        <w:rPr>
          <w:color w:val="7D7D7D"/>
        </w:rPr>
        <w:t>APPENDICES</w:t>
      </w:r>
    </w:p>
    <w:bookmarkStart w:id="3" w:name="bookmark=id.lnxbz9" w:colFirst="0" w:colLast="0" w:displacedByCustomXml="next"/>
    <w:bookmarkEnd w:id="3" w:displacedByCustomXml="next"/>
    <w:bookmarkStart w:id="4" w:name="bookmark=id.35nkun2" w:colFirst="0" w:colLast="0" w:displacedByCustomXml="next"/>
    <w:bookmarkEnd w:id="4" w:displacedByCustomXml="next"/>
    <w:bookmarkStart w:id="5" w:name="bookmark=id.1ksv4uv" w:colFirst="0" w:colLast="0" w:displacedByCustomXml="next"/>
    <w:bookmarkEnd w:id="5" w:displacedByCustomXml="next"/>
    <w:bookmarkStart w:id="6" w:name="bookmark=id.26in1rg" w:colFirst="0" w:colLast="0" w:displacedByCustomXml="next"/>
    <w:bookmarkEnd w:id="6" w:displacedByCustomXml="next"/>
    <w:sdt>
      <w:sdtPr>
        <w:id w:val="-1951387455"/>
        <w:docPartObj>
          <w:docPartGallery w:val="Table of Contents"/>
          <w:docPartUnique/>
        </w:docPartObj>
      </w:sdtPr>
      <w:sdtEndPr/>
      <w:sdtContent>
        <w:p w:rsidR="005F4C24" w:rsidRDefault="004C2B0D">
          <w:pPr>
            <w:pBdr>
              <w:top w:val="nil"/>
              <w:left w:val="nil"/>
              <w:bottom w:val="nil"/>
              <w:right w:val="nil"/>
              <w:between w:val="nil"/>
            </w:pBdr>
            <w:tabs>
              <w:tab w:val="right" w:pos="9029"/>
            </w:tabs>
            <w:spacing w:after="120"/>
            <w:rPr>
              <w:rFonts w:ascii="Calibri" w:eastAsia="Calibri" w:hAnsi="Calibri" w:cs="Calibri"/>
              <w:color w:val="000000"/>
              <w:sz w:val="22"/>
              <w:szCs w:val="22"/>
            </w:rPr>
          </w:pPr>
          <w:r>
            <w:fldChar w:fldCharType="begin"/>
          </w:r>
          <w:r>
            <w:instrText xml:space="preserve"> TOC \h \u \z \n \t "Heading 1,1,Heading 2,2,Heading 3,3,Heading 4,4,Heading 5,5,Heading 6,6,"</w:instrText>
          </w:r>
          <w:r>
            <w:fldChar w:fldCharType="separate"/>
          </w:r>
          <w:hyperlink w:anchor="_heading=h.3ep43zb">
            <w:r>
              <w:rPr>
                <w:smallCaps/>
                <w:color w:val="000000"/>
              </w:rPr>
              <w:t>Appendix 1 Security requirements</w:t>
            </w:r>
          </w:hyperlink>
        </w:p>
        <w:p w:rsidR="005F4C24" w:rsidRDefault="001D0A32">
          <w:pPr>
            <w:pBdr>
              <w:top w:val="nil"/>
              <w:left w:val="nil"/>
              <w:bottom w:val="nil"/>
              <w:right w:val="nil"/>
              <w:between w:val="nil"/>
            </w:pBdr>
            <w:tabs>
              <w:tab w:val="right" w:pos="9029"/>
            </w:tabs>
            <w:spacing w:after="120"/>
            <w:rPr>
              <w:rFonts w:ascii="Calibri" w:eastAsia="Calibri" w:hAnsi="Calibri" w:cs="Calibri"/>
              <w:color w:val="000000"/>
              <w:sz w:val="22"/>
              <w:szCs w:val="22"/>
            </w:rPr>
          </w:pPr>
          <w:hyperlink w:anchor="_heading=h.261ztfg">
            <w:r w:rsidR="004C2B0D">
              <w:rPr>
                <w:smallCaps/>
                <w:color w:val="000000"/>
              </w:rPr>
              <w:t>Appendix 2 Security Requirements for Development</w:t>
            </w:r>
          </w:hyperlink>
        </w:p>
        <w:p w:rsidR="005F4C24" w:rsidRDefault="001D0A32">
          <w:pPr>
            <w:pBdr>
              <w:top w:val="nil"/>
              <w:left w:val="nil"/>
              <w:bottom w:val="nil"/>
              <w:right w:val="nil"/>
              <w:between w:val="nil"/>
            </w:pBdr>
            <w:tabs>
              <w:tab w:val="right" w:pos="9029"/>
            </w:tabs>
            <w:spacing w:after="120"/>
            <w:rPr>
              <w:rFonts w:ascii="Calibri" w:eastAsia="Calibri" w:hAnsi="Calibri" w:cs="Calibri"/>
              <w:color w:val="000000"/>
              <w:sz w:val="22"/>
              <w:szCs w:val="22"/>
            </w:rPr>
          </w:pPr>
          <w:hyperlink w:anchor="_heading=h.1xrdshw">
            <w:r w:rsidR="004C2B0D">
              <w:rPr>
                <w:smallCaps/>
                <w:color w:val="000000"/>
              </w:rPr>
              <w:t>Appendix 3 Security Working Group</w:t>
            </w:r>
          </w:hyperlink>
        </w:p>
        <w:p w:rsidR="005F4C24" w:rsidRDefault="001D0A32">
          <w:pPr>
            <w:pBdr>
              <w:top w:val="nil"/>
              <w:left w:val="nil"/>
              <w:bottom w:val="nil"/>
              <w:right w:val="nil"/>
              <w:between w:val="nil"/>
            </w:pBdr>
            <w:tabs>
              <w:tab w:val="right" w:pos="9029"/>
            </w:tabs>
            <w:spacing w:after="120"/>
            <w:rPr>
              <w:rFonts w:ascii="Calibri" w:eastAsia="Calibri" w:hAnsi="Calibri" w:cs="Calibri"/>
              <w:color w:val="000000"/>
              <w:sz w:val="22"/>
              <w:szCs w:val="22"/>
            </w:rPr>
          </w:pPr>
          <w:hyperlink w:anchor="_heading=h.4hr1b5p">
            <w:r w:rsidR="004C2B0D">
              <w:rPr>
                <w:smallCaps/>
                <w:color w:val="000000"/>
              </w:rPr>
              <w:t>Appendix 4 Sub-contractor Security Requirements and Security Requirements for Development</w:t>
            </w:r>
          </w:hyperlink>
        </w:p>
        <w:p w:rsidR="005F4C24" w:rsidRDefault="001D0A32">
          <w:pPr>
            <w:pBdr>
              <w:top w:val="nil"/>
              <w:left w:val="nil"/>
              <w:bottom w:val="nil"/>
              <w:right w:val="nil"/>
              <w:between w:val="nil"/>
            </w:pBdr>
            <w:tabs>
              <w:tab w:val="right" w:pos="9029"/>
            </w:tabs>
            <w:spacing w:after="120"/>
            <w:rPr>
              <w:rFonts w:ascii="Calibri" w:eastAsia="Calibri" w:hAnsi="Calibri" w:cs="Calibri"/>
              <w:color w:val="000000"/>
              <w:sz w:val="22"/>
              <w:szCs w:val="22"/>
            </w:rPr>
          </w:pPr>
          <w:hyperlink w:anchor="_heading=h.2wwbldi">
            <w:r w:rsidR="004C2B0D">
              <w:rPr>
                <w:smallCaps/>
                <w:color w:val="000000"/>
              </w:rPr>
              <w:t>Appendix 5 Security Management Plan Template</w:t>
            </w:r>
          </w:hyperlink>
        </w:p>
        <w:p w:rsidR="005F4C24" w:rsidRDefault="004C2B0D">
          <w:pPr>
            <w:tabs>
              <w:tab w:val="left" w:pos="6828"/>
            </w:tabs>
          </w:pPr>
          <w:r>
            <w:fldChar w:fldCharType="end"/>
          </w:r>
        </w:p>
      </w:sdtContent>
    </w:sdt>
    <w:p w:rsidR="005F4C24" w:rsidRDefault="005F4C24">
      <w:pPr>
        <w:tabs>
          <w:tab w:val="left" w:pos="6828"/>
        </w:tabs>
        <w:sectPr w:rsidR="005F4C24">
          <w:footerReference w:type="default" r:id="rId10"/>
          <w:pgSz w:w="11906" w:h="16838"/>
          <w:pgMar w:top="1440" w:right="1440" w:bottom="1797" w:left="1440" w:header="720" w:footer="720" w:gutter="0"/>
          <w:cols w:space="720"/>
        </w:sectPr>
      </w:pPr>
    </w:p>
    <w:p w:rsidR="005F4C24" w:rsidRDefault="004C2B0D">
      <w:pPr>
        <w:pStyle w:val="Heading1"/>
        <w:numPr>
          <w:ilvl w:val="0"/>
          <w:numId w:val="17"/>
        </w:numPr>
      </w:pPr>
      <w:bookmarkStart w:id="7" w:name="_heading=h.44sinio" w:colFirst="0" w:colLast="0"/>
      <w:bookmarkEnd w:id="7"/>
      <w:r>
        <w:lastRenderedPageBreak/>
        <w:t>Authority Options</w:t>
      </w:r>
    </w:p>
    <w:p w:rsidR="005F4C24" w:rsidRDefault="004C2B0D">
      <w:pPr>
        <w:pStyle w:val="Heading2"/>
        <w:keepNext/>
        <w:numPr>
          <w:ilvl w:val="1"/>
          <w:numId w:val="17"/>
        </w:numPr>
      </w:pPr>
      <w:r>
        <w:t>Where the Authority has selected an option in the table below, the Supplier must comply with the requirements relating to that option set out in the relevant paragraph:</w:t>
      </w:r>
    </w:p>
    <w:tbl>
      <w:tblPr>
        <w:tblStyle w:val="af8"/>
        <w:tblW w:w="829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93"/>
        <w:gridCol w:w="3555"/>
        <w:gridCol w:w="548"/>
      </w:tblGrid>
      <w:tr w:rsidR="005F4C24">
        <w:tc>
          <w:tcPr>
            <w:tcW w:w="8296" w:type="dxa"/>
            <w:gridSpan w:val="3"/>
          </w:tcPr>
          <w:p w:rsidR="005F4C24" w:rsidRDefault="004C2B0D">
            <w:pPr>
              <w:pBdr>
                <w:top w:val="nil"/>
                <w:left w:val="nil"/>
                <w:bottom w:val="nil"/>
                <w:right w:val="nil"/>
                <w:between w:val="nil"/>
              </w:pBdr>
              <w:spacing w:before="120" w:after="120"/>
              <w:rPr>
                <w:rFonts w:ascii="Arial" w:eastAsia="Arial" w:hAnsi="Arial" w:cs="Arial"/>
                <w:b w:val="0"/>
                <w:color w:val="000000"/>
              </w:rPr>
            </w:pPr>
            <w:bookmarkStart w:id="8" w:name="_heading=h.z337ya" w:colFirst="0" w:colLast="0"/>
            <w:bookmarkEnd w:id="8"/>
            <w:r>
              <w:rPr>
                <w:rFonts w:ascii="Arial" w:eastAsia="Arial" w:hAnsi="Arial" w:cs="Arial"/>
                <w:color w:val="000000"/>
              </w:rPr>
              <w:t>Locations</w:t>
            </w:r>
            <w:r>
              <w:rPr>
                <w:rFonts w:ascii="Arial" w:eastAsia="Arial" w:hAnsi="Arial" w:cs="Arial"/>
                <w:b w:val="0"/>
                <w:color w:val="000000"/>
              </w:rPr>
              <w:t xml:space="preserve"> (see paragraph 1 of the Security Requirements)</w:t>
            </w:r>
          </w:p>
        </w:tc>
      </w:tr>
      <w:tr w:rsidR="005F4C24">
        <w:tc>
          <w:tcPr>
            <w:tcW w:w="4193" w:type="dxa"/>
            <w:vMerge w:val="restart"/>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The Supplier and Sub-contractors may store, access or Process Government Data in:</w:t>
            </w:r>
          </w:p>
        </w:tc>
        <w:tc>
          <w:tcPr>
            <w:tcW w:w="3555"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the United Kingdom only</w:t>
            </w:r>
          </w:p>
        </w:tc>
        <w:tc>
          <w:tcPr>
            <w:tcW w:w="548" w:type="dxa"/>
            <w:shd w:val="clear" w:color="auto" w:fill="FFFFFF"/>
            <w:vAlign w:val="center"/>
          </w:tcPr>
          <w:p w:rsidR="005F4C24" w:rsidRDefault="004C2B0D">
            <w:pPr>
              <w:pBdr>
                <w:top w:val="nil"/>
                <w:left w:val="nil"/>
                <w:bottom w:val="nil"/>
                <w:right w:val="nil"/>
                <w:between w:val="nil"/>
              </w:pBdr>
              <w:spacing w:before="120" w:after="120"/>
              <w:jc w:val="center"/>
              <w:rPr>
                <w:rFonts w:ascii="Arial" w:eastAsia="Arial" w:hAnsi="Arial" w:cs="Arial"/>
                <w:color w:val="000000"/>
              </w:rPr>
            </w:pPr>
            <w:r>
              <w:rPr>
                <w:rFonts w:ascii="MS Gothic" w:eastAsia="MS Gothic" w:hAnsi="MS Gothic" w:cs="MS Gothic"/>
                <w:color w:val="000000"/>
              </w:rPr>
              <w:t>X</w:t>
            </w:r>
          </w:p>
        </w:tc>
      </w:tr>
      <w:tr w:rsidR="005F4C24">
        <w:tc>
          <w:tcPr>
            <w:tcW w:w="4193" w:type="dxa"/>
            <w:vMerge/>
          </w:tcPr>
          <w:p w:rsidR="005F4C24" w:rsidRDefault="005F4C24">
            <w:pPr>
              <w:widowControl w:val="0"/>
              <w:pBdr>
                <w:top w:val="nil"/>
                <w:left w:val="nil"/>
                <w:bottom w:val="nil"/>
                <w:right w:val="nil"/>
                <w:between w:val="nil"/>
              </w:pBdr>
              <w:spacing w:line="276" w:lineRule="auto"/>
              <w:rPr>
                <w:rFonts w:ascii="Arial" w:eastAsia="Arial" w:hAnsi="Arial" w:cs="Arial"/>
                <w:color w:val="000000"/>
              </w:rPr>
            </w:pPr>
          </w:p>
        </w:tc>
        <w:tc>
          <w:tcPr>
            <w:tcW w:w="3555"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the United Kingdom and European Economic Area only</w:t>
            </w:r>
          </w:p>
        </w:tc>
        <w:tc>
          <w:tcPr>
            <w:tcW w:w="548" w:type="dxa"/>
            <w:vAlign w:val="center"/>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MS Gothic" w:eastAsia="MS Gothic" w:hAnsi="MS Gothic" w:cs="MS Gothic"/>
                <w:b w:val="0"/>
                <w:color w:val="000000"/>
              </w:rPr>
              <w:t>☐</w:t>
            </w:r>
          </w:p>
        </w:tc>
      </w:tr>
      <w:tr w:rsidR="005F4C24">
        <w:tc>
          <w:tcPr>
            <w:tcW w:w="4193" w:type="dxa"/>
            <w:vMerge/>
          </w:tcPr>
          <w:p w:rsidR="005F4C24" w:rsidRDefault="005F4C24">
            <w:pPr>
              <w:widowControl w:val="0"/>
              <w:pBdr>
                <w:top w:val="nil"/>
                <w:left w:val="nil"/>
                <w:bottom w:val="nil"/>
                <w:right w:val="nil"/>
                <w:between w:val="nil"/>
              </w:pBdr>
              <w:spacing w:line="276" w:lineRule="auto"/>
              <w:rPr>
                <w:rFonts w:ascii="Arial" w:eastAsia="Arial" w:hAnsi="Arial" w:cs="Arial"/>
                <w:b w:val="0"/>
                <w:color w:val="000000"/>
              </w:rPr>
            </w:pPr>
          </w:p>
        </w:tc>
        <w:tc>
          <w:tcPr>
            <w:tcW w:w="3555"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anywhere in the world not prohibited by the Buyer</w:t>
            </w:r>
          </w:p>
        </w:tc>
        <w:tc>
          <w:tcPr>
            <w:tcW w:w="548" w:type="dxa"/>
            <w:vAlign w:val="center"/>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MS Gothic" w:eastAsia="MS Gothic" w:hAnsi="MS Gothic" w:cs="MS Gothic"/>
                <w:b w:val="0"/>
                <w:color w:val="000000"/>
              </w:rPr>
              <w:t>☐</w:t>
            </w:r>
          </w:p>
        </w:tc>
      </w:tr>
      <w:tr w:rsidR="005F4C24">
        <w:tc>
          <w:tcPr>
            <w:tcW w:w="8296" w:type="dxa"/>
            <w:gridSpan w:val="3"/>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color w:val="000000"/>
              </w:rPr>
              <w:t>Support Locations</w:t>
            </w:r>
            <w:r>
              <w:rPr>
                <w:rFonts w:ascii="Arial" w:eastAsia="Arial" w:hAnsi="Arial" w:cs="Arial"/>
                <w:b w:val="0"/>
                <w:color w:val="000000"/>
              </w:rPr>
              <w:t xml:space="preserve"> (see paragraph 1 of the Security Requirements)</w:t>
            </w:r>
          </w:p>
        </w:tc>
      </w:tr>
      <w:tr w:rsidR="005F4C24">
        <w:tc>
          <w:tcPr>
            <w:tcW w:w="4193" w:type="dxa"/>
            <w:vMerge w:val="restart"/>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The Supplier and Subcontractors may operate Support Locations in:</w:t>
            </w:r>
          </w:p>
        </w:tc>
        <w:tc>
          <w:tcPr>
            <w:tcW w:w="3555"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the United Kingdom only</w:t>
            </w:r>
          </w:p>
        </w:tc>
        <w:tc>
          <w:tcPr>
            <w:tcW w:w="548" w:type="dxa"/>
            <w:shd w:val="clear" w:color="auto" w:fill="FFFFFF"/>
            <w:vAlign w:val="center"/>
          </w:tcPr>
          <w:p w:rsidR="005F4C24" w:rsidRDefault="004C2B0D">
            <w:pPr>
              <w:pBdr>
                <w:top w:val="nil"/>
                <w:left w:val="nil"/>
                <w:bottom w:val="nil"/>
                <w:right w:val="nil"/>
                <w:between w:val="nil"/>
              </w:pBdr>
              <w:spacing w:before="120" w:after="120"/>
              <w:jc w:val="center"/>
              <w:rPr>
                <w:rFonts w:ascii="Arial" w:eastAsia="Arial" w:hAnsi="Arial" w:cs="Arial"/>
                <w:color w:val="000000"/>
              </w:rPr>
            </w:pPr>
            <w:r>
              <w:rPr>
                <w:rFonts w:ascii="MS Gothic" w:eastAsia="MS Gothic" w:hAnsi="MS Gothic" w:cs="MS Gothic"/>
                <w:color w:val="000000"/>
              </w:rPr>
              <w:t>X</w:t>
            </w:r>
          </w:p>
        </w:tc>
      </w:tr>
      <w:tr w:rsidR="005F4C24">
        <w:tc>
          <w:tcPr>
            <w:tcW w:w="4193" w:type="dxa"/>
            <w:vMerge/>
          </w:tcPr>
          <w:p w:rsidR="005F4C24" w:rsidRDefault="005F4C24">
            <w:pPr>
              <w:widowControl w:val="0"/>
              <w:pBdr>
                <w:top w:val="nil"/>
                <w:left w:val="nil"/>
                <w:bottom w:val="nil"/>
                <w:right w:val="nil"/>
                <w:between w:val="nil"/>
              </w:pBdr>
              <w:spacing w:line="276" w:lineRule="auto"/>
              <w:rPr>
                <w:rFonts w:ascii="Arial" w:eastAsia="Arial" w:hAnsi="Arial" w:cs="Arial"/>
                <w:b w:val="0"/>
                <w:color w:val="000000"/>
              </w:rPr>
            </w:pPr>
          </w:p>
        </w:tc>
        <w:tc>
          <w:tcPr>
            <w:tcW w:w="3555"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the United Kingdom and European Economic Area only</w:t>
            </w:r>
          </w:p>
        </w:tc>
        <w:tc>
          <w:tcPr>
            <w:tcW w:w="548" w:type="dxa"/>
            <w:vAlign w:val="center"/>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MS Gothic" w:eastAsia="MS Gothic" w:hAnsi="MS Gothic" w:cs="MS Gothic"/>
                <w:b w:val="0"/>
                <w:color w:val="000000"/>
              </w:rPr>
              <w:t>☐</w:t>
            </w:r>
          </w:p>
        </w:tc>
      </w:tr>
      <w:tr w:rsidR="005F4C24">
        <w:tc>
          <w:tcPr>
            <w:tcW w:w="4193" w:type="dxa"/>
            <w:vMerge/>
          </w:tcPr>
          <w:p w:rsidR="005F4C24" w:rsidRDefault="005F4C24">
            <w:pPr>
              <w:widowControl w:val="0"/>
              <w:pBdr>
                <w:top w:val="nil"/>
                <w:left w:val="nil"/>
                <w:bottom w:val="nil"/>
                <w:right w:val="nil"/>
                <w:between w:val="nil"/>
              </w:pBdr>
              <w:spacing w:line="276" w:lineRule="auto"/>
              <w:rPr>
                <w:rFonts w:ascii="Arial" w:eastAsia="Arial" w:hAnsi="Arial" w:cs="Arial"/>
                <w:b w:val="0"/>
                <w:color w:val="000000"/>
              </w:rPr>
            </w:pPr>
          </w:p>
        </w:tc>
        <w:tc>
          <w:tcPr>
            <w:tcW w:w="3555"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anywhere in the world not prohibited by the Buyer</w:t>
            </w:r>
          </w:p>
        </w:tc>
        <w:tc>
          <w:tcPr>
            <w:tcW w:w="548" w:type="dxa"/>
            <w:vAlign w:val="center"/>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MS Gothic" w:eastAsia="MS Gothic" w:hAnsi="MS Gothic" w:cs="MS Gothic"/>
                <w:b w:val="0"/>
                <w:color w:val="000000"/>
              </w:rPr>
              <w:t>☐</w:t>
            </w:r>
          </w:p>
        </w:tc>
      </w:tr>
      <w:tr w:rsidR="005F4C24">
        <w:tc>
          <w:tcPr>
            <w:tcW w:w="8296" w:type="dxa"/>
            <w:gridSpan w:val="3"/>
          </w:tcPr>
          <w:p w:rsidR="005F4C24" w:rsidRDefault="004C2B0D">
            <w:pPr>
              <w:pBdr>
                <w:top w:val="nil"/>
                <w:left w:val="nil"/>
                <w:bottom w:val="nil"/>
                <w:right w:val="nil"/>
                <w:between w:val="nil"/>
              </w:pBdr>
              <w:spacing w:before="120" w:after="120"/>
              <w:rPr>
                <w:rFonts w:ascii="Arial" w:eastAsia="Arial" w:hAnsi="Arial" w:cs="Arial"/>
                <w:b w:val="0"/>
                <w:color w:val="000000"/>
              </w:rPr>
            </w:pPr>
            <w:bookmarkStart w:id="9" w:name="_heading=h.3j2qqm3" w:colFirst="0" w:colLast="0"/>
            <w:bookmarkEnd w:id="9"/>
            <w:r>
              <w:rPr>
                <w:rFonts w:ascii="Arial" w:eastAsia="Arial" w:hAnsi="Arial" w:cs="Arial"/>
                <w:color w:val="000000"/>
              </w:rPr>
              <w:t>Development Activity</w:t>
            </w:r>
            <w:r>
              <w:rPr>
                <w:rFonts w:ascii="Arial" w:eastAsia="Arial" w:hAnsi="Arial" w:cs="Arial"/>
                <w:b w:val="0"/>
                <w:color w:val="000000"/>
              </w:rPr>
              <w:t xml:space="preserve"> (see Appendix 1 (</w:t>
            </w:r>
            <w:r>
              <w:rPr>
                <w:rFonts w:ascii="Arial" w:eastAsia="Arial" w:hAnsi="Arial" w:cs="Arial"/>
                <w:b w:val="0"/>
                <w:i/>
                <w:color w:val="000000"/>
              </w:rPr>
              <w:t>Security Requirements for Development</w:t>
            </w:r>
            <w:r>
              <w:rPr>
                <w:rFonts w:ascii="Arial" w:eastAsia="Arial" w:hAnsi="Arial" w:cs="Arial"/>
                <w:b w:val="0"/>
                <w:color w:val="000000"/>
              </w:rPr>
              <w:t>))</w:t>
            </w:r>
          </w:p>
        </w:tc>
      </w:tr>
      <w:tr w:rsidR="005F4C24">
        <w:tc>
          <w:tcPr>
            <w:tcW w:w="7748" w:type="dxa"/>
            <w:gridSpan w:val="2"/>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The Authority requires the Supplier to undertake Development Activity under this Contract and, as a consequence, Appendix 2 applies</w:t>
            </w:r>
          </w:p>
        </w:tc>
        <w:tc>
          <w:tcPr>
            <w:tcW w:w="548" w:type="dxa"/>
            <w:vAlign w:val="center"/>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MS Gothic" w:eastAsia="MS Gothic" w:hAnsi="MS Gothic" w:cs="MS Gothic"/>
                <w:b w:val="0"/>
                <w:color w:val="000000"/>
              </w:rPr>
              <w:t>☐</w:t>
            </w:r>
          </w:p>
        </w:tc>
      </w:tr>
      <w:tr w:rsidR="005F4C24">
        <w:tc>
          <w:tcPr>
            <w:tcW w:w="8296" w:type="dxa"/>
            <w:gridSpan w:val="3"/>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color w:val="000000"/>
              </w:rPr>
              <w:t>Locations for Development Activity</w:t>
            </w:r>
            <w:r>
              <w:rPr>
                <w:rFonts w:ascii="Arial" w:eastAsia="Arial" w:hAnsi="Arial" w:cs="Arial"/>
                <w:b w:val="0"/>
                <w:color w:val="000000"/>
              </w:rPr>
              <w:t xml:space="preserve"> (applies only if the option relating to Development Activities is selected; see paragraph 1 of the Security Requirements)</w:t>
            </w:r>
          </w:p>
        </w:tc>
      </w:tr>
      <w:tr w:rsidR="005F4C24">
        <w:tc>
          <w:tcPr>
            <w:tcW w:w="4193" w:type="dxa"/>
            <w:vMerge w:val="restart"/>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The Supplier and Subcontractors may undertake Development Activity in:</w:t>
            </w:r>
          </w:p>
        </w:tc>
        <w:tc>
          <w:tcPr>
            <w:tcW w:w="3555"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the United Kingdom only</w:t>
            </w:r>
          </w:p>
        </w:tc>
        <w:tc>
          <w:tcPr>
            <w:tcW w:w="548" w:type="dxa"/>
            <w:vAlign w:val="center"/>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MS Gothic" w:eastAsia="MS Gothic" w:hAnsi="MS Gothic" w:cs="MS Gothic"/>
                <w:b w:val="0"/>
                <w:color w:val="000000"/>
              </w:rPr>
              <w:t>☐</w:t>
            </w:r>
          </w:p>
        </w:tc>
      </w:tr>
      <w:tr w:rsidR="005F4C24">
        <w:tc>
          <w:tcPr>
            <w:tcW w:w="4193" w:type="dxa"/>
            <w:vMerge/>
          </w:tcPr>
          <w:p w:rsidR="005F4C24" w:rsidRDefault="005F4C24">
            <w:pPr>
              <w:widowControl w:val="0"/>
              <w:pBdr>
                <w:top w:val="nil"/>
                <w:left w:val="nil"/>
                <w:bottom w:val="nil"/>
                <w:right w:val="nil"/>
                <w:between w:val="nil"/>
              </w:pBdr>
              <w:spacing w:line="276" w:lineRule="auto"/>
              <w:rPr>
                <w:rFonts w:ascii="Arial" w:eastAsia="Arial" w:hAnsi="Arial" w:cs="Arial"/>
                <w:b w:val="0"/>
                <w:color w:val="000000"/>
              </w:rPr>
            </w:pPr>
          </w:p>
        </w:tc>
        <w:tc>
          <w:tcPr>
            <w:tcW w:w="3555"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the United Kingdom and European Economic Area only</w:t>
            </w:r>
          </w:p>
        </w:tc>
        <w:tc>
          <w:tcPr>
            <w:tcW w:w="548" w:type="dxa"/>
            <w:vAlign w:val="center"/>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MS Gothic" w:eastAsia="MS Gothic" w:hAnsi="MS Gothic" w:cs="MS Gothic"/>
                <w:b w:val="0"/>
                <w:color w:val="000000"/>
              </w:rPr>
              <w:t>☐</w:t>
            </w:r>
          </w:p>
        </w:tc>
      </w:tr>
      <w:tr w:rsidR="005F4C24">
        <w:tc>
          <w:tcPr>
            <w:tcW w:w="4193" w:type="dxa"/>
            <w:vMerge/>
          </w:tcPr>
          <w:p w:rsidR="005F4C24" w:rsidRDefault="005F4C24">
            <w:pPr>
              <w:widowControl w:val="0"/>
              <w:pBdr>
                <w:top w:val="nil"/>
                <w:left w:val="nil"/>
                <w:bottom w:val="nil"/>
                <w:right w:val="nil"/>
                <w:between w:val="nil"/>
              </w:pBdr>
              <w:spacing w:line="276" w:lineRule="auto"/>
              <w:rPr>
                <w:rFonts w:ascii="Arial" w:eastAsia="Arial" w:hAnsi="Arial" w:cs="Arial"/>
                <w:b w:val="0"/>
                <w:color w:val="000000"/>
              </w:rPr>
            </w:pPr>
          </w:p>
        </w:tc>
        <w:tc>
          <w:tcPr>
            <w:tcW w:w="3555"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anywhere in the world not prohibited by the Buyer</w:t>
            </w:r>
          </w:p>
        </w:tc>
        <w:tc>
          <w:tcPr>
            <w:tcW w:w="548" w:type="dxa"/>
            <w:vAlign w:val="center"/>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MS Gothic" w:eastAsia="MS Gothic" w:hAnsi="MS Gothic" w:cs="MS Gothic"/>
                <w:b w:val="0"/>
                <w:color w:val="000000"/>
              </w:rPr>
              <w:t>☐</w:t>
            </w:r>
          </w:p>
        </w:tc>
      </w:tr>
    </w:tbl>
    <w:p w:rsidR="005F4C24" w:rsidRDefault="005F4C24">
      <w:pPr>
        <w:pBdr>
          <w:top w:val="nil"/>
          <w:left w:val="nil"/>
          <w:bottom w:val="nil"/>
          <w:right w:val="nil"/>
          <w:between w:val="nil"/>
        </w:pBdr>
        <w:spacing w:after="0"/>
        <w:rPr>
          <w:color w:val="000000"/>
        </w:rPr>
      </w:pPr>
    </w:p>
    <w:p w:rsidR="005F4C24" w:rsidRDefault="004C2B0D">
      <w:pPr>
        <w:pStyle w:val="Heading1"/>
        <w:numPr>
          <w:ilvl w:val="0"/>
          <w:numId w:val="17"/>
        </w:numPr>
      </w:pPr>
      <w:bookmarkStart w:id="10" w:name="_heading=h.1y810tw" w:colFirst="0" w:colLast="0"/>
      <w:bookmarkEnd w:id="10"/>
      <w:r>
        <w:t>Definitions</w:t>
      </w:r>
    </w:p>
    <w:tbl>
      <w:tblPr>
        <w:tblStyle w:val="af9"/>
        <w:tblW w:w="8299"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3"/>
        <w:gridCol w:w="6226"/>
      </w:tblGrid>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Anti-virus Software</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software that:</w:t>
            </w:r>
          </w:p>
          <w:p w:rsidR="005F4C24" w:rsidRDefault="004C2B0D">
            <w:pPr>
              <w:numPr>
                <w:ilvl w:val="2"/>
                <w:numId w:val="15"/>
              </w:numPr>
              <w:pBdr>
                <w:top w:val="nil"/>
                <w:left w:val="nil"/>
                <w:bottom w:val="nil"/>
                <w:right w:val="nil"/>
                <w:between w:val="nil"/>
              </w:pBdr>
              <w:spacing w:after="240"/>
              <w:ind w:left="720"/>
            </w:pPr>
            <w:r>
              <w:rPr>
                <w:rFonts w:ascii="Arial" w:eastAsia="Arial" w:hAnsi="Arial" w:cs="Arial"/>
                <w:b w:val="0"/>
                <w:color w:val="000000"/>
              </w:rPr>
              <w:t>protects the Supplier Information Management System from the possible introduction of Malicious Software;</w:t>
            </w:r>
          </w:p>
          <w:p w:rsidR="005F4C24" w:rsidRDefault="004C2B0D">
            <w:pPr>
              <w:numPr>
                <w:ilvl w:val="2"/>
                <w:numId w:val="15"/>
              </w:numPr>
              <w:pBdr>
                <w:top w:val="nil"/>
                <w:left w:val="nil"/>
                <w:bottom w:val="nil"/>
                <w:right w:val="nil"/>
                <w:between w:val="nil"/>
              </w:pBdr>
              <w:spacing w:after="240"/>
              <w:ind w:left="720"/>
            </w:pPr>
            <w:r>
              <w:rPr>
                <w:rFonts w:ascii="Arial" w:eastAsia="Arial" w:hAnsi="Arial" w:cs="Arial"/>
                <w:b w:val="0"/>
                <w:color w:val="000000"/>
              </w:rPr>
              <w:t>scans for and identifies possible Malicious Software in the Supplier Information Management System;</w:t>
            </w:r>
          </w:p>
          <w:p w:rsidR="005F4C24" w:rsidRDefault="004C2B0D">
            <w:pPr>
              <w:numPr>
                <w:ilvl w:val="2"/>
                <w:numId w:val="15"/>
              </w:numPr>
              <w:pBdr>
                <w:top w:val="nil"/>
                <w:left w:val="nil"/>
                <w:bottom w:val="nil"/>
                <w:right w:val="nil"/>
                <w:between w:val="nil"/>
              </w:pBdr>
              <w:spacing w:after="240"/>
              <w:ind w:left="720"/>
            </w:pPr>
            <w:r>
              <w:rPr>
                <w:rFonts w:ascii="Arial" w:eastAsia="Arial" w:hAnsi="Arial" w:cs="Arial"/>
                <w:b w:val="0"/>
                <w:color w:val="000000"/>
              </w:rPr>
              <w:lastRenderedPageBreak/>
              <w:t>if Malicious Software is detected in the Supplier Information Management System, so far as possible:</w:t>
            </w:r>
          </w:p>
          <w:p w:rsidR="005F4C24" w:rsidRDefault="004C2B0D">
            <w:pPr>
              <w:numPr>
                <w:ilvl w:val="3"/>
                <w:numId w:val="15"/>
              </w:numPr>
              <w:pBdr>
                <w:top w:val="nil"/>
                <w:left w:val="nil"/>
                <w:bottom w:val="nil"/>
                <w:right w:val="nil"/>
                <w:between w:val="nil"/>
              </w:pBdr>
              <w:spacing w:after="240"/>
              <w:ind w:left="1440"/>
            </w:pPr>
            <w:r>
              <w:rPr>
                <w:rFonts w:ascii="Arial" w:eastAsia="Arial" w:hAnsi="Arial" w:cs="Arial"/>
                <w:b w:val="0"/>
                <w:color w:val="000000"/>
              </w:rPr>
              <w:t>prevents the harmful effects of the Malicious Software; and</w:t>
            </w:r>
          </w:p>
          <w:p w:rsidR="005F4C24" w:rsidRDefault="004C2B0D">
            <w:pPr>
              <w:numPr>
                <w:ilvl w:val="3"/>
                <w:numId w:val="15"/>
              </w:numPr>
              <w:pBdr>
                <w:top w:val="nil"/>
                <w:left w:val="nil"/>
                <w:bottom w:val="nil"/>
                <w:right w:val="nil"/>
                <w:between w:val="nil"/>
              </w:pBdr>
              <w:spacing w:after="240"/>
              <w:ind w:left="1440"/>
            </w:pPr>
            <w:r>
              <w:rPr>
                <w:rFonts w:ascii="Arial" w:eastAsia="Arial" w:hAnsi="Arial" w:cs="Arial"/>
                <w:b w:val="0"/>
                <w:color w:val="000000"/>
              </w:rPr>
              <w:t>removes the Malicious Software from the Supplier Information Management System.</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lastRenderedPageBreak/>
              <w:t>Assets</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all assets and rights used by the Supplier to provide the Services in accordance with this Contract but excluding the Authority Assets.</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Authority Data</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any:</w:t>
            </w:r>
          </w:p>
          <w:p w:rsidR="005F4C24" w:rsidRDefault="004C2B0D">
            <w:pPr>
              <w:numPr>
                <w:ilvl w:val="2"/>
                <w:numId w:val="9"/>
              </w:numPr>
              <w:pBdr>
                <w:top w:val="nil"/>
                <w:left w:val="nil"/>
                <w:bottom w:val="nil"/>
                <w:right w:val="nil"/>
                <w:between w:val="nil"/>
              </w:pBdr>
              <w:spacing w:after="240"/>
              <w:ind w:left="720"/>
            </w:pPr>
            <w:bookmarkStart w:id="11" w:name="_heading=h.4i7ojhp" w:colFirst="0" w:colLast="0"/>
            <w:bookmarkEnd w:id="11"/>
            <w:r>
              <w:rPr>
                <w:rFonts w:ascii="Arial" w:eastAsia="Arial" w:hAnsi="Arial" w:cs="Arial"/>
                <w:b w:val="0"/>
                <w:color w:val="000000"/>
              </w:rPr>
              <w:t xml:space="preserve">data, text, drawings, diagrams, images or sounds (together with any database made up of any of these) which are embodied in any electronic, magnetic, optical or tangible media; </w:t>
            </w:r>
          </w:p>
          <w:p w:rsidR="005F4C24" w:rsidRDefault="004C2B0D">
            <w:pPr>
              <w:numPr>
                <w:ilvl w:val="2"/>
                <w:numId w:val="9"/>
              </w:numPr>
              <w:pBdr>
                <w:top w:val="nil"/>
                <w:left w:val="nil"/>
                <w:bottom w:val="nil"/>
                <w:right w:val="nil"/>
                <w:between w:val="nil"/>
              </w:pBdr>
              <w:spacing w:after="240"/>
              <w:ind w:left="720"/>
            </w:pPr>
            <w:bookmarkStart w:id="12" w:name="_heading=h.2xcytpi" w:colFirst="0" w:colLast="0"/>
            <w:bookmarkEnd w:id="12"/>
            <w:r>
              <w:rPr>
                <w:rFonts w:ascii="Arial" w:eastAsia="Arial" w:hAnsi="Arial" w:cs="Arial"/>
                <w:b w:val="0"/>
                <w:color w:val="000000"/>
              </w:rPr>
              <w:t>Personal Data for which the Authority is a, or the, Data Controller; or</w:t>
            </w:r>
          </w:p>
          <w:p w:rsidR="005F4C24" w:rsidRDefault="004C2B0D">
            <w:pPr>
              <w:numPr>
                <w:ilvl w:val="2"/>
                <w:numId w:val="9"/>
              </w:numPr>
              <w:pBdr>
                <w:top w:val="nil"/>
                <w:left w:val="nil"/>
                <w:bottom w:val="nil"/>
                <w:right w:val="nil"/>
                <w:between w:val="nil"/>
              </w:pBdr>
              <w:spacing w:after="240"/>
              <w:ind w:left="720"/>
            </w:pPr>
            <w:r>
              <w:rPr>
                <w:rFonts w:ascii="Arial" w:eastAsia="Arial" w:hAnsi="Arial" w:cs="Arial"/>
                <w:b w:val="0"/>
                <w:color w:val="000000"/>
              </w:rPr>
              <w:t>any meta-data relating to categories of data referred to in paragraphs (a) or (b);</w:t>
            </w:r>
          </w:p>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that is:</w:t>
            </w:r>
          </w:p>
          <w:p w:rsidR="005F4C24" w:rsidRDefault="004C2B0D">
            <w:pPr>
              <w:numPr>
                <w:ilvl w:val="2"/>
                <w:numId w:val="9"/>
              </w:numPr>
              <w:pBdr>
                <w:top w:val="nil"/>
                <w:left w:val="nil"/>
                <w:bottom w:val="nil"/>
                <w:right w:val="nil"/>
                <w:between w:val="nil"/>
              </w:pBdr>
              <w:spacing w:after="240"/>
              <w:ind w:left="720"/>
            </w:pPr>
            <w:r>
              <w:rPr>
                <w:rFonts w:ascii="Arial" w:eastAsia="Arial" w:hAnsi="Arial" w:cs="Arial"/>
                <w:b w:val="0"/>
                <w:color w:val="000000"/>
              </w:rPr>
              <w:t>supplied to the Supplier by or on behalf of the Authority; or</w:t>
            </w:r>
          </w:p>
          <w:p w:rsidR="005F4C24" w:rsidRDefault="004C2B0D">
            <w:pPr>
              <w:numPr>
                <w:ilvl w:val="2"/>
                <w:numId w:val="9"/>
              </w:numPr>
              <w:pBdr>
                <w:top w:val="nil"/>
                <w:left w:val="nil"/>
                <w:bottom w:val="nil"/>
                <w:right w:val="nil"/>
                <w:between w:val="nil"/>
              </w:pBdr>
              <w:spacing w:after="240"/>
              <w:ind w:left="720"/>
            </w:pPr>
            <w:r>
              <w:rPr>
                <w:rFonts w:ascii="Arial" w:eastAsia="Arial" w:hAnsi="Arial" w:cs="Arial"/>
                <w:b w:val="0"/>
                <w:color w:val="000000"/>
              </w:rPr>
              <w:t>that the Supplier generates, processes, stores or transmits under this Contract; and</w:t>
            </w:r>
          </w:p>
          <w:p w:rsidR="005F4C24" w:rsidRDefault="004C2B0D">
            <w:pPr>
              <w:pBdr>
                <w:top w:val="nil"/>
                <w:left w:val="nil"/>
                <w:bottom w:val="nil"/>
                <w:right w:val="nil"/>
                <w:between w:val="nil"/>
              </w:pBdr>
              <w:spacing w:before="120" w:after="120"/>
              <w:ind w:left="1440" w:hanging="720"/>
              <w:rPr>
                <w:rFonts w:ascii="Arial" w:eastAsia="Arial" w:hAnsi="Arial" w:cs="Arial"/>
                <w:b w:val="0"/>
                <w:color w:val="000000"/>
              </w:rPr>
            </w:pPr>
            <w:r>
              <w:rPr>
                <w:rFonts w:ascii="Arial" w:eastAsia="Arial" w:hAnsi="Arial" w:cs="Arial"/>
                <w:b w:val="0"/>
                <w:color w:val="000000"/>
              </w:rPr>
              <w:t>for the avoidance of doubt includes the Code and any meta-data relating to the Code.</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Authority Data Register</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the register of all Authority Data the Supplier, or any Sub-contractor, receives from or creates for the Authority, produced and maintained in accordance with paragraph 16 of the Security Requirements.</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Authority Equipment</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any hardware, computer or telecoms devices, and equipment that forms part of the Authority System.</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Authority Premises</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premises owned, controlled or occupied by the Authority and/or any Central Government Body which are made available for use by the Supplier or its Sub-contractors for provision of the Services (or any part of the Service).</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Authority System</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the Authority’s information and communications technology system, including any software or Authority Equipment, owned by the Authority or leased or licenced to it by a third-party, that:</w:t>
            </w:r>
          </w:p>
          <w:p w:rsidR="005F4C24" w:rsidRDefault="004C2B0D">
            <w:pPr>
              <w:numPr>
                <w:ilvl w:val="2"/>
                <w:numId w:val="16"/>
              </w:numPr>
              <w:pBdr>
                <w:top w:val="nil"/>
                <w:left w:val="nil"/>
                <w:bottom w:val="nil"/>
                <w:right w:val="nil"/>
                <w:between w:val="nil"/>
              </w:pBdr>
              <w:spacing w:after="240"/>
              <w:ind w:left="720"/>
            </w:pPr>
            <w:r>
              <w:rPr>
                <w:rFonts w:ascii="Arial" w:eastAsia="Arial" w:hAnsi="Arial" w:cs="Arial"/>
                <w:b w:val="0"/>
                <w:color w:val="000000"/>
              </w:rPr>
              <w:t>is used by the Authority or the Supplier in connection with this contract;</w:t>
            </w:r>
          </w:p>
          <w:p w:rsidR="005F4C24" w:rsidRDefault="004C2B0D">
            <w:pPr>
              <w:numPr>
                <w:ilvl w:val="2"/>
                <w:numId w:val="16"/>
              </w:numPr>
              <w:pBdr>
                <w:top w:val="nil"/>
                <w:left w:val="nil"/>
                <w:bottom w:val="nil"/>
                <w:right w:val="nil"/>
                <w:between w:val="nil"/>
              </w:pBdr>
              <w:spacing w:after="240"/>
              <w:ind w:left="720"/>
            </w:pPr>
            <w:r>
              <w:rPr>
                <w:rFonts w:ascii="Arial" w:eastAsia="Arial" w:hAnsi="Arial" w:cs="Arial"/>
                <w:b w:val="0"/>
                <w:color w:val="000000"/>
              </w:rPr>
              <w:t>interfaces with the Supplier System; and/or</w:t>
            </w:r>
          </w:p>
        </w:tc>
      </w:tr>
      <w:tr w:rsidR="005F4C24">
        <w:tc>
          <w:tcPr>
            <w:tcW w:w="2073" w:type="dxa"/>
          </w:tcPr>
          <w:p w:rsidR="005F4C24" w:rsidRDefault="005F4C24">
            <w:pPr>
              <w:pBdr>
                <w:top w:val="nil"/>
                <w:left w:val="nil"/>
                <w:bottom w:val="nil"/>
                <w:right w:val="nil"/>
                <w:between w:val="nil"/>
              </w:pBdr>
              <w:spacing w:before="120" w:after="120"/>
              <w:rPr>
                <w:rFonts w:ascii="Arial" w:eastAsia="Arial" w:hAnsi="Arial" w:cs="Arial"/>
                <w:color w:val="000000"/>
              </w:rPr>
            </w:pPr>
          </w:p>
        </w:tc>
        <w:tc>
          <w:tcPr>
            <w:tcW w:w="6226" w:type="dxa"/>
          </w:tcPr>
          <w:p w:rsidR="005F4C24" w:rsidRDefault="004C2B0D">
            <w:pPr>
              <w:numPr>
                <w:ilvl w:val="2"/>
                <w:numId w:val="16"/>
              </w:numPr>
              <w:pBdr>
                <w:top w:val="nil"/>
                <w:left w:val="nil"/>
                <w:bottom w:val="nil"/>
                <w:right w:val="nil"/>
                <w:between w:val="nil"/>
              </w:pBdr>
              <w:spacing w:before="120" w:after="240"/>
              <w:ind w:left="720"/>
            </w:pPr>
            <w:r>
              <w:rPr>
                <w:rFonts w:ascii="Arial" w:eastAsia="Arial" w:hAnsi="Arial" w:cs="Arial"/>
                <w:b w:val="0"/>
                <w:color w:val="000000"/>
              </w:rPr>
              <w:t>is necessary for the Authority to receive the Services.</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Breach Action Plan</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a plan prepared under paragraph 14.3 of the Security Requirements addressing any Breach of Security.</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Breach of Security</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the occurrence of:</w:t>
            </w:r>
          </w:p>
          <w:p w:rsidR="005F4C24" w:rsidRDefault="004C2B0D">
            <w:pPr>
              <w:numPr>
                <w:ilvl w:val="2"/>
                <w:numId w:val="32"/>
              </w:numPr>
              <w:pBdr>
                <w:top w:val="nil"/>
                <w:left w:val="nil"/>
                <w:bottom w:val="nil"/>
                <w:right w:val="nil"/>
                <w:between w:val="nil"/>
              </w:pBdr>
              <w:spacing w:after="240"/>
              <w:ind w:left="720"/>
            </w:pPr>
            <w:bookmarkStart w:id="13" w:name="_heading=h.1ci93xb" w:colFirst="0" w:colLast="0"/>
            <w:bookmarkEnd w:id="13"/>
            <w:r>
              <w:rPr>
                <w:rFonts w:ascii="Arial" w:eastAsia="Arial" w:hAnsi="Arial" w:cs="Arial"/>
                <w:b w:val="0"/>
                <w:color w:val="000000"/>
              </w:rPr>
              <w:t xml:space="preserve">any unauthorised access to or use of the Services, the Authority Premises, the Sites, the Supplier Information Management System and/or any information or data used by the Authority, the Supplier or any Sub-contractor in connection with this Contract, including the Authority Data and the Code; </w:t>
            </w:r>
          </w:p>
          <w:p w:rsidR="005F4C24" w:rsidRDefault="004C2B0D">
            <w:pPr>
              <w:numPr>
                <w:ilvl w:val="2"/>
                <w:numId w:val="32"/>
              </w:numPr>
              <w:pBdr>
                <w:top w:val="nil"/>
                <w:left w:val="nil"/>
                <w:bottom w:val="nil"/>
                <w:right w:val="nil"/>
                <w:between w:val="nil"/>
              </w:pBdr>
              <w:spacing w:after="240"/>
              <w:ind w:left="720"/>
            </w:pPr>
            <w:r>
              <w:rPr>
                <w:rFonts w:ascii="Arial" w:eastAsia="Arial" w:hAnsi="Arial" w:cs="Arial"/>
                <w:b w:val="0"/>
                <w:color w:val="000000"/>
              </w:rPr>
              <w:t>the loss (physical or otherwise), corruption and/or unauthorised disclosure of any information or data, including copies of such information or data, used by the Authority, the Supplier or any Sub-contractor in connection with this Contract, including the Authority Data and the Code; and/or</w:t>
            </w:r>
          </w:p>
          <w:p w:rsidR="005F4C24" w:rsidRDefault="004C2B0D">
            <w:pPr>
              <w:numPr>
                <w:ilvl w:val="2"/>
                <w:numId w:val="32"/>
              </w:numPr>
              <w:pBdr>
                <w:top w:val="nil"/>
                <w:left w:val="nil"/>
                <w:bottom w:val="nil"/>
                <w:right w:val="nil"/>
                <w:between w:val="nil"/>
              </w:pBdr>
              <w:spacing w:after="240"/>
              <w:ind w:left="720"/>
            </w:pPr>
            <w:r>
              <w:rPr>
                <w:rFonts w:ascii="Arial" w:eastAsia="Arial" w:hAnsi="Arial" w:cs="Arial"/>
                <w:b w:val="0"/>
                <w:color w:val="000000"/>
              </w:rPr>
              <w:t>any part of the Supplier Information Management System ceasing to be compliant with the Certification Requirements;</w:t>
            </w:r>
          </w:p>
          <w:p w:rsidR="005F4C24" w:rsidRDefault="004C2B0D">
            <w:pPr>
              <w:numPr>
                <w:ilvl w:val="2"/>
                <w:numId w:val="32"/>
              </w:numPr>
              <w:pBdr>
                <w:top w:val="nil"/>
                <w:left w:val="nil"/>
                <w:bottom w:val="nil"/>
                <w:right w:val="nil"/>
                <w:between w:val="nil"/>
              </w:pBdr>
              <w:spacing w:after="240"/>
              <w:ind w:left="720"/>
            </w:pPr>
            <w:r>
              <w:rPr>
                <w:rFonts w:ascii="Arial" w:eastAsia="Arial" w:hAnsi="Arial" w:cs="Arial"/>
                <w:b w:val="0"/>
                <w:color w:val="000000"/>
              </w:rPr>
              <w:t>the installation of Malicious Software in the:</w:t>
            </w:r>
          </w:p>
          <w:p w:rsidR="005F4C24" w:rsidRDefault="004C2B0D">
            <w:pPr>
              <w:numPr>
                <w:ilvl w:val="3"/>
                <w:numId w:val="32"/>
              </w:numPr>
              <w:pBdr>
                <w:top w:val="nil"/>
                <w:left w:val="nil"/>
                <w:bottom w:val="nil"/>
                <w:right w:val="nil"/>
                <w:between w:val="nil"/>
              </w:pBdr>
              <w:spacing w:after="240"/>
              <w:ind w:left="1440"/>
            </w:pPr>
            <w:r>
              <w:rPr>
                <w:rFonts w:ascii="Arial" w:eastAsia="Arial" w:hAnsi="Arial" w:cs="Arial"/>
                <w:b w:val="0"/>
                <w:color w:val="000000"/>
              </w:rPr>
              <w:t>Supplier Information Management System;</w:t>
            </w:r>
          </w:p>
          <w:p w:rsidR="005F4C24" w:rsidRDefault="004C2B0D">
            <w:pPr>
              <w:numPr>
                <w:ilvl w:val="3"/>
                <w:numId w:val="32"/>
              </w:numPr>
              <w:pBdr>
                <w:top w:val="nil"/>
                <w:left w:val="nil"/>
                <w:bottom w:val="nil"/>
                <w:right w:val="nil"/>
                <w:between w:val="nil"/>
              </w:pBdr>
              <w:spacing w:after="240"/>
              <w:ind w:left="1440"/>
            </w:pPr>
            <w:r>
              <w:rPr>
                <w:rFonts w:ascii="Arial" w:eastAsia="Arial" w:hAnsi="Arial" w:cs="Arial"/>
                <w:b w:val="0"/>
                <w:color w:val="000000"/>
              </w:rPr>
              <w:t>Development Environment; or</w:t>
            </w:r>
          </w:p>
          <w:p w:rsidR="005F4C24" w:rsidRDefault="004C2B0D">
            <w:pPr>
              <w:numPr>
                <w:ilvl w:val="3"/>
                <w:numId w:val="32"/>
              </w:numPr>
              <w:pBdr>
                <w:top w:val="nil"/>
                <w:left w:val="nil"/>
                <w:bottom w:val="nil"/>
                <w:right w:val="nil"/>
                <w:between w:val="nil"/>
              </w:pBdr>
              <w:spacing w:after="240"/>
              <w:ind w:left="1440"/>
            </w:pPr>
            <w:r>
              <w:rPr>
                <w:rFonts w:ascii="Arial" w:eastAsia="Arial" w:hAnsi="Arial" w:cs="Arial"/>
                <w:b w:val="0"/>
                <w:color w:val="000000"/>
              </w:rPr>
              <w:t>Developed System;</w:t>
            </w:r>
          </w:p>
          <w:p w:rsidR="005F4C24" w:rsidRDefault="004C2B0D">
            <w:pPr>
              <w:numPr>
                <w:ilvl w:val="2"/>
                <w:numId w:val="32"/>
              </w:numPr>
              <w:pBdr>
                <w:top w:val="nil"/>
                <w:left w:val="nil"/>
                <w:bottom w:val="nil"/>
                <w:right w:val="nil"/>
                <w:between w:val="nil"/>
              </w:pBdr>
              <w:spacing w:after="240"/>
              <w:ind w:left="720"/>
            </w:pPr>
            <w:r>
              <w:rPr>
                <w:rFonts w:ascii="Arial" w:eastAsia="Arial" w:hAnsi="Arial" w:cs="Arial"/>
                <w:b w:val="0"/>
                <w:color w:val="000000"/>
              </w:rPr>
              <w:t>any loss of operational efficiency or failure to operate to specification as the result of the installation or operation of Malicious Software in the:</w:t>
            </w:r>
          </w:p>
          <w:p w:rsidR="005F4C24" w:rsidRDefault="004C2B0D">
            <w:pPr>
              <w:numPr>
                <w:ilvl w:val="3"/>
                <w:numId w:val="32"/>
              </w:numPr>
              <w:pBdr>
                <w:top w:val="nil"/>
                <w:left w:val="nil"/>
                <w:bottom w:val="nil"/>
                <w:right w:val="nil"/>
                <w:between w:val="nil"/>
              </w:pBdr>
              <w:spacing w:after="240"/>
              <w:ind w:left="1440"/>
            </w:pPr>
            <w:r>
              <w:rPr>
                <w:rFonts w:ascii="Arial" w:eastAsia="Arial" w:hAnsi="Arial" w:cs="Arial"/>
                <w:b w:val="0"/>
                <w:color w:val="000000"/>
              </w:rPr>
              <w:t>Supplier Information Management System;</w:t>
            </w:r>
          </w:p>
          <w:p w:rsidR="005F4C24" w:rsidRDefault="004C2B0D">
            <w:pPr>
              <w:numPr>
                <w:ilvl w:val="3"/>
                <w:numId w:val="32"/>
              </w:numPr>
              <w:pBdr>
                <w:top w:val="nil"/>
                <w:left w:val="nil"/>
                <w:bottom w:val="nil"/>
                <w:right w:val="nil"/>
                <w:between w:val="nil"/>
              </w:pBdr>
              <w:spacing w:after="240"/>
              <w:ind w:left="1440"/>
            </w:pPr>
            <w:r>
              <w:rPr>
                <w:rFonts w:ascii="Arial" w:eastAsia="Arial" w:hAnsi="Arial" w:cs="Arial"/>
                <w:b w:val="0"/>
                <w:color w:val="000000"/>
              </w:rPr>
              <w:t>Development Environment; or</w:t>
            </w:r>
          </w:p>
          <w:p w:rsidR="005F4C24" w:rsidRDefault="004C2B0D">
            <w:pPr>
              <w:numPr>
                <w:ilvl w:val="3"/>
                <w:numId w:val="32"/>
              </w:numPr>
              <w:pBdr>
                <w:top w:val="nil"/>
                <w:left w:val="nil"/>
                <w:bottom w:val="nil"/>
                <w:right w:val="nil"/>
                <w:between w:val="nil"/>
              </w:pBdr>
              <w:spacing w:after="240"/>
              <w:ind w:left="1440"/>
            </w:pPr>
            <w:r>
              <w:rPr>
                <w:rFonts w:ascii="Arial" w:eastAsia="Arial" w:hAnsi="Arial" w:cs="Arial"/>
                <w:b w:val="0"/>
                <w:color w:val="000000"/>
              </w:rPr>
              <w:t xml:space="preserve">Developed </w:t>
            </w:r>
            <w:proofErr w:type="gramStart"/>
            <w:r>
              <w:rPr>
                <w:rFonts w:ascii="Arial" w:eastAsia="Arial" w:hAnsi="Arial" w:cs="Arial"/>
                <w:b w:val="0"/>
                <w:color w:val="000000"/>
              </w:rPr>
              <w:t>System;  and</w:t>
            </w:r>
            <w:proofErr w:type="gramEnd"/>
          </w:p>
          <w:p w:rsidR="005F4C24" w:rsidRDefault="004C2B0D">
            <w:pPr>
              <w:numPr>
                <w:ilvl w:val="2"/>
                <w:numId w:val="32"/>
              </w:numPr>
              <w:pBdr>
                <w:top w:val="nil"/>
                <w:left w:val="nil"/>
                <w:bottom w:val="nil"/>
                <w:right w:val="nil"/>
                <w:between w:val="nil"/>
              </w:pBdr>
              <w:spacing w:after="240"/>
              <w:ind w:left="720"/>
            </w:pPr>
            <w:r>
              <w:rPr>
                <w:rFonts w:ascii="Arial" w:eastAsia="Arial" w:hAnsi="Arial" w:cs="Arial"/>
                <w:b w:val="0"/>
                <w:color w:val="000000"/>
              </w:rPr>
              <w:t>includes any attempt to undertake the activities listed in sub-paragraph (a) where the Supplier has reasonable grounds to suspect that attempt:</w:t>
            </w:r>
          </w:p>
          <w:p w:rsidR="005F4C24" w:rsidRDefault="004C2B0D">
            <w:pPr>
              <w:numPr>
                <w:ilvl w:val="3"/>
                <w:numId w:val="32"/>
              </w:numPr>
              <w:pBdr>
                <w:top w:val="nil"/>
                <w:left w:val="nil"/>
                <w:bottom w:val="nil"/>
                <w:right w:val="nil"/>
                <w:between w:val="nil"/>
              </w:pBdr>
              <w:spacing w:after="240"/>
              <w:ind w:left="1440"/>
            </w:pPr>
            <w:r>
              <w:rPr>
                <w:rFonts w:ascii="Arial" w:eastAsia="Arial" w:hAnsi="Arial" w:cs="Arial"/>
                <w:b w:val="0"/>
                <w:color w:val="000000"/>
              </w:rPr>
              <w:t>was part of a wider effort to access information and communications technology operated by or on behalf of Central Government Bodies; or</w:t>
            </w:r>
          </w:p>
          <w:p w:rsidR="005F4C24" w:rsidRDefault="004C2B0D">
            <w:pPr>
              <w:numPr>
                <w:ilvl w:val="3"/>
                <w:numId w:val="32"/>
              </w:numPr>
              <w:pBdr>
                <w:top w:val="nil"/>
                <w:left w:val="nil"/>
                <w:bottom w:val="nil"/>
                <w:right w:val="nil"/>
                <w:between w:val="nil"/>
              </w:pBdr>
              <w:spacing w:after="240"/>
              <w:ind w:left="1440"/>
            </w:pPr>
            <w:r>
              <w:rPr>
                <w:rFonts w:ascii="Arial" w:eastAsia="Arial" w:hAnsi="Arial" w:cs="Arial"/>
                <w:b w:val="0"/>
                <w:color w:val="000000"/>
              </w:rPr>
              <w:t>was undertaken, or directed by, a state other than the United Kingdom.</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bookmarkStart w:id="14" w:name="_heading=h.3whwml4" w:colFirst="0" w:colLast="0"/>
            <w:bookmarkEnd w:id="14"/>
            <w:r>
              <w:rPr>
                <w:rFonts w:ascii="Arial" w:eastAsia="Arial" w:hAnsi="Arial" w:cs="Arial"/>
                <w:color w:val="000000"/>
              </w:rPr>
              <w:lastRenderedPageBreak/>
              <w:t>CAF</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 xml:space="preserve">The NCSC’s Cyber Assessment Framework - </w:t>
            </w:r>
            <w:hyperlink r:id="rId11">
              <w:r>
                <w:rPr>
                  <w:rFonts w:ascii="Arial" w:eastAsia="Arial" w:hAnsi="Arial" w:cs="Arial"/>
                  <w:b w:val="0"/>
                  <w:color w:val="0563C1"/>
                  <w:u w:val="single"/>
                </w:rPr>
                <w:t>https://www.ncsc.gov.uk/collection/caf/cyber-assessment-framework</w:t>
              </w:r>
            </w:hyperlink>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Certification Requirements</w:t>
            </w:r>
          </w:p>
        </w:tc>
        <w:tc>
          <w:tcPr>
            <w:tcW w:w="6226"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b w:val="0"/>
                <w:color w:val="000000"/>
              </w:rPr>
              <w:t>means the requirements set out in paragraph 12.3.</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CHECK Scheme</w:t>
            </w:r>
          </w:p>
        </w:tc>
        <w:tc>
          <w:tcPr>
            <w:tcW w:w="6226"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b w:val="0"/>
                <w:color w:val="000000"/>
              </w:rPr>
              <w:t>means the NCSC’s scheme under which approved companies can conduct authorised penetration tests of public sector and critical national infrastructure systems and networks.</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CHECK Service Provider</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a company which, under the CHECK Scheme:</w:t>
            </w:r>
          </w:p>
          <w:p w:rsidR="005F4C24" w:rsidRDefault="004C2B0D">
            <w:pPr>
              <w:numPr>
                <w:ilvl w:val="2"/>
                <w:numId w:val="34"/>
              </w:numPr>
              <w:pBdr>
                <w:top w:val="nil"/>
                <w:left w:val="nil"/>
                <w:bottom w:val="nil"/>
                <w:right w:val="nil"/>
                <w:between w:val="nil"/>
              </w:pBdr>
              <w:spacing w:after="240"/>
              <w:ind w:left="720"/>
            </w:pPr>
            <w:r>
              <w:rPr>
                <w:rFonts w:ascii="Arial" w:eastAsia="Arial" w:hAnsi="Arial" w:cs="Arial"/>
                <w:b w:val="0"/>
                <w:color w:val="000000"/>
              </w:rPr>
              <w:t>has been certified by the National Cyber Security Centre;</w:t>
            </w:r>
          </w:p>
          <w:p w:rsidR="005F4C24" w:rsidRDefault="004C2B0D">
            <w:pPr>
              <w:numPr>
                <w:ilvl w:val="2"/>
                <w:numId w:val="32"/>
              </w:numPr>
              <w:pBdr>
                <w:top w:val="nil"/>
                <w:left w:val="nil"/>
                <w:bottom w:val="nil"/>
                <w:right w:val="nil"/>
                <w:between w:val="nil"/>
              </w:pBdr>
              <w:spacing w:after="240"/>
              <w:ind w:left="720"/>
            </w:pPr>
            <w:r>
              <w:rPr>
                <w:rFonts w:ascii="Arial" w:eastAsia="Arial" w:hAnsi="Arial" w:cs="Arial"/>
                <w:b w:val="0"/>
                <w:color w:val="000000"/>
              </w:rPr>
              <w:t>holds "Green Light" status; and</w:t>
            </w:r>
          </w:p>
          <w:p w:rsidR="005F4C24" w:rsidRDefault="004C2B0D">
            <w:pPr>
              <w:numPr>
                <w:ilvl w:val="2"/>
                <w:numId w:val="32"/>
              </w:numPr>
              <w:pBdr>
                <w:top w:val="nil"/>
                <w:left w:val="nil"/>
                <w:bottom w:val="nil"/>
                <w:right w:val="nil"/>
                <w:between w:val="nil"/>
              </w:pBdr>
              <w:spacing w:after="240"/>
              <w:ind w:left="720"/>
            </w:pPr>
            <w:r>
              <w:rPr>
                <w:rFonts w:ascii="Arial" w:eastAsia="Arial" w:hAnsi="Arial" w:cs="Arial"/>
                <w:b w:val="0"/>
                <w:color w:val="000000"/>
              </w:rPr>
              <w:t>is authorised to provide the IT Health Check services required by paragraph 10 of the Security Requirements.</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Code</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in respect of the Developed System:</w:t>
            </w:r>
          </w:p>
          <w:p w:rsidR="005F4C24" w:rsidRDefault="004C2B0D">
            <w:pPr>
              <w:numPr>
                <w:ilvl w:val="2"/>
                <w:numId w:val="28"/>
              </w:numPr>
              <w:pBdr>
                <w:top w:val="nil"/>
                <w:left w:val="nil"/>
                <w:bottom w:val="nil"/>
                <w:right w:val="nil"/>
                <w:between w:val="nil"/>
              </w:pBdr>
              <w:spacing w:after="240"/>
              <w:ind w:left="720"/>
            </w:pPr>
            <w:r>
              <w:rPr>
                <w:rFonts w:ascii="Arial" w:eastAsia="Arial" w:hAnsi="Arial" w:cs="Arial"/>
                <w:b w:val="0"/>
                <w:color w:val="000000"/>
              </w:rPr>
              <w:t>the source code;</w:t>
            </w:r>
          </w:p>
          <w:p w:rsidR="005F4C24" w:rsidRDefault="004C2B0D">
            <w:pPr>
              <w:numPr>
                <w:ilvl w:val="2"/>
                <w:numId w:val="32"/>
              </w:numPr>
              <w:pBdr>
                <w:top w:val="nil"/>
                <w:left w:val="nil"/>
                <w:bottom w:val="nil"/>
                <w:right w:val="nil"/>
                <w:between w:val="nil"/>
              </w:pBdr>
              <w:spacing w:after="240"/>
              <w:ind w:left="720"/>
            </w:pPr>
            <w:r>
              <w:rPr>
                <w:rFonts w:ascii="Arial" w:eastAsia="Arial" w:hAnsi="Arial" w:cs="Arial"/>
                <w:b w:val="0"/>
                <w:color w:val="000000"/>
              </w:rPr>
              <w:t>the object code;</w:t>
            </w:r>
          </w:p>
          <w:p w:rsidR="005F4C24" w:rsidRDefault="004C2B0D">
            <w:pPr>
              <w:numPr>
                <w:ilvl w:val="2"/>
                <w:numId w:val="32"/>
              </w:numPr>
              <w:pBdr>
                <w:top w:val="nil"/>
                <w:left w:val="nil"/>
                <w:bottom w:val="nil"/>
                <w:right w:val="nil"/>
                <w:between w:val="nil"/>
              </w:pBdr>
              <w:spacing w:after="240"/>
              <w:ind w:left="720"/>
            </w:pPr>
            <w:r>
              <w:rPr>
                <w:rFonts w:ascii="Arial" w:eastAsia="Arial" w:hAnsi="Arial" w:cs="Arial"/>
                <w:b w:val="0"/>
                <w:color w:val="000000"/>
              </w:rPr>
              <w:t>third-party components, including third-party coding frameworks and libraries; and</w:t>
            </w:r>
          </w:p>
          <w:p w:rsidR="005F4C24" w:rsidRDefault="004C2B0D">
            <w:pPr>
              <w:numPr>
                <w:ilvl w:val="2"/>
                <w:numId w:val="32"/>
              </w:numPr>
              <w:pBdr>
                <w:top w:val="nil"/>
                <w:left w:val="nil"/>
                <w:bottom w:val="nil"/>
                <w:right w:val="nil"/>
                <w:between w:val="nil"/>
              </w:pBdr>
              <w:spacing w:after="240"/>
              <w:ind w:left="720"/>
            </w:pPr>
            <w:r>
              <w:rPr>
                <w:rFonts w:ascii="Arial" w:eastAsia="Arial" w:hAnsi="Arial" w:cs="Arial"/>
                <w:b w:val="0"/>
                <w:color w:val="000000"/>
              </w:rPr>
              <w:t>all supporting documentation.</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Code Review</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a periodic review of the Code by manual or automated means to:</w:t>
            </w:r>
          </w:p>
          <w:p w:rsidR="005F4C24" w:rsidRDefault="004C2B0D">
            <w:pPr>
              <w:numPr>
                <w:ilvl w:val="2"/>
                <w:numId w:val="29"/>
              </w:numPr>
              <w:pBdr>
                <w:top w:val="nil"/>
                <w:left w:val="nil"/>
                <w:bottom w:val="nil"/>
                <w:right w:val="nil"/>
                <w:between w:val="nil"/>
              </w:pBdr>
              <w:spacing w:after="240"/>
              <w:ind w:left="720"/>
            </w:pPr>
            <w:r>
              <w:rPr>
                <w:rFonts w:ascii="Arial" w:eastAsia="Arial" w:hAnsi="Arial" w:cs="Arial"/>
                <w:b w:val="0"/>
                <w:color w:val="000000"/>
              </w:rPr>
              <w:t>identify and fix any bugs; and</w:t>
            </w:r>
          </w:p>
          <w:p w:rsidR="005F4C24" w:rsidRDefault="004C2B0D">
            <w:pPr>
              <w:numPr>
                <w:ilvl w:val="2"/>
                <w:numId w:val="29"/>
              </w:numPr>
              <w:pBdr>
                <w:top w:val="nil"/>
                <w:left w:val="nil"/>
                <w:bottom w:val="nil"/>
                <w:right w:val="nil"/>
                <w:between w:val="nil"/>
              </w:pBdr>
              <w:spacing w:after="240"/>
              <w:ind w:left="720"/>
            </w:pPr>
            <w:r>
              <w:rPr>
                <w:rFonts w:ascii="Arial" w:eastAsia="Arial" w:hAnsi="Arial" w:cs="Arial"/>
                <w:b w:val="0"/>
                <w:color w:val="000000"/>
              </w:rPr>
              <w:t>ensure the Code complies with</w:t>
            </w:r>
          </w:p>
          <w:p w:rsidR="005F4C24" w:rsidRDefault="004C2B0D">
            <w:pPr>
              <w:numPr>
                <w:ilvl w:val="3"/>
                <w:numId w:val="29"/>
              </w:numPr>
              <w:pBdr>
                <w:top w:val="nil"/>
                <w:left w:val="nil"/>
                <w:bottom w:val="nil"/>
                <w:right w:val="nil"/>
                <w:between w:val="nil"/>
              </w:pBdr>
              <w:spacing w:after="240"/>
              <w:ind w:left="1440"/>
            </w:pPr>
            <w:r>
              <w:rPr>
                <w:rFonts w:ascii="Arial" w:eastAsia="Arial" w:hAnsi="Arial" w:cs="Arial"/>
                <w:b w:val="0"/>
                <w:color w:val="000000"/>
              </w:rPr>
              <w:t>the requirements of this Schedule (</w:t>
            </w:r>
            <w:r>
              <w:rPr>
                <w:rFonts w:ascii="Arial" w:eastAsia="Arial" w:hAnsi="Arial" w:cs="Arial"/>
                <w:b w:val="0"/>
                <w:i/>
                <w:color w:val="000000"/>
              </w:rPr>
              <w:t>Security Management</w:t>
            </w:r>
            <w:r>
              <w:rPr>
                <w:rFonts w:ascii="Arial" w:eastAsia="Arial" w:hAnsi="Arial" w:cs="Arial"/>
                <w:b w:val="0"/>
                <w:color w:val="000000"/>
              </w:rPr>
              <w:t>); and</w:t>
            </w:r>
          </w:p>
          <w:p w:rsidR="005F4C24" w:rsidRDefault="004C2B0D">
            <w:pPr>
              <w:numPr>
                <w:ilvl w:val="3"/>
                <w:numId w:val="29"/>
              </w:numPr>
              <w:pBdr>
                <w:top w:val="nil"/>
                <w:left w:val="nil"/>
                <w:bottom w:val="nil"/>
                <w:right w:val="nil"/>
                <w:between w:val="nil"/>
              </w:pBdr>
              <w:spacing w:after="240"/>
              <w:ind w:left="1440"/>
            </w:pPr>
            <w:r>
              <w:rPr>
                <w:rFonts w:ascii="Arial" w:eastAsia="Arial" w:hAnsi="Arial" w:cs="Arial"/>
                <w:b w:val="0"/>
                <w:color w:val="000000"/>
              </w:rPr>
              <w:t>the Secure Development Guidance.</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Code Review Plan</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the document agreed with the Authority under paragraph 5.2 of the Security Requirements setting out the requirements for, and frequency of, Code Reviews.</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Code Review Report</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a report setting out the findings of a Code Review.</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Cyber Essentials</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the Cyber Essentials certificate issued under the Cyber Essentials Scheme.</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Cyber Essentials Plus</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the Cyber Essentials Plus certificate issued under the Cyber Essentials Scheme.</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lastRenderedPageBreak/>
              <w:t>Cyber Essentials Scheme</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the Cyber Essentials scheme operated by the National Cyber Security Centre.</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Data Migration Plan</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the plan for the migration of the Authority Data to the Authority and/or the Replacement Supplier (as required by the Authority) required by paragraph 15.1 of the Security Requirements.</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Developed System</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any software or system that the Supplier will develop under this Contract either:</w:t>
            </w:r>
          </w:p>
          <w:p w:rsidR="005F4C24" w:rsidRDefault="004C2B0D">
            <w:pPr>
              <w:numPr>
                <w:ilvl w:val="2"/>
                <w:numId w:val="31"/>
              </w:numPr>
              <w:pBdr>
                <w:top w:val="nil"/>
                <w:left w:val="nil"/>
                <w:bottom w:val="nil"/>
                <w:right w:val="nil"/>
                <w:between w:val="nil"/>
              </w:pBdr>
              <w:spacing w:after="240"/>
              <w:ind w:left="720"/>
            </w:pPr>
            <w:r>
              <w:rPr>
                <w:rFonts w:ascii="Arial" w:eastAsia="Arial" w:hAnsi="Arial" w:cs="Arial"/>
                <w:b w:val="0"/>
                <w:color w:val="000000"/>
              </w:rPr>
              <w:t>as part of the Services; or</w:t>
            </w:r>
          </w:p>
          <w:p w:rsidR="005F4C24" w:rsidRDefault="004C2B0D">
            <w:pPr>
              <w:numPr>
                <w:ilvl w:val="2"/>
                <w:numId w:val="29"/>
              </w:numPr>
              <w:pBdr>
                <w:top w:val="nil"/>
                <w:left w:val="nil"/>
                <w:bottom w:val="nil"/>
                <w:right w:val="nil"/>
                <w:between w:val="nil"/>
              </w:pBdr>
              <w:spacing w:after="240"/>
              <w:ind w:left="720"/>
            </w:pPr>
            <w:r>
              <w:rPr>
                <w:rFonts w:ascii="Arial" w:eastAsia="Arial" w:hAnsi="Arial" w:cs="Arial"/>
                <w:b w:val="0"/>
                <w:color w:val="000000"/>
              </w:rPr>
              <w:t>to create or modify Software to:</w:t>
            </w:r>
          </w:p>
          <w:p w:rsidR="005F4C24" w:rsidRDefault="004C2B0D">
            <w:pPr>
              <w:numPr>
                <w:ilvl w:val="3"/>
                <w:numId w:val="29"/>
              </w:numPr>
              <w:pBdr>
                <w:top w:val="nil"/>
                <w:left w:val="nil"/>
                <w:bottom w:val="nil"/>
                <w:right w:val="nil"/>
                <w:between w:val="nil"/>
              </w:pBdr>
              <w:spacing w:after="240"/>
              <w:ind w:left="1440"/>
            </w:pPr>
            <w:r>
              <w:rPr>
                <w:rFonts w:ascii="Arial" w:eastAsia="Arial" w:hAnsi="Arial" w:cs="Arial"/>
                <w:b w:val="0"/>
                <w:color w:val="000000"/>
              </w:rPr>
              <w:t>provide the Services; or</w:t>
            </w:r>
          </w:p>
          <w:p w:rsidR="005F4C24" w:rsidRDefault="004C2B0D">
            <w:pPr>
              <w:numPr>
                <w:ilvl w:val="3"/>
                <w:numId w:val="29"/>
              </w:numPr>
              <w:pBdr>
                <w:top w:val="nil"/>
                <w:left w:val="nil"/>
                <w:bottom w:val="nil"/>
                <w:right w:val="nil"/>
                <w:between w:val="nil"/>
              </w:pBdr>
              <w:spacing w:after="240"/>
              <w:ind w:left="1440"/>
            </w:pPr>
            <w:r>
              <w:rPr>
                <w:rFonts w:ascii="Arial" w:eastAsia="Arial" w:hAnsi="Arial" w:cs="Arial"/>
                <w:b w:val="0"/>
                <w:color w:val="000000"/>
              </w:rPr>
              <w:t>Process Authority Data.</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Development Activity</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any activity relating to the development, deployment maintenance and upgrading of the Developed System, including:</w:t>
            </w:r>
          </w:p>
          <w:p w:rsidR="005F4C24" w:rsidRDefault="004C2B0D">
            <w:pPr>
              <w:numPr>
                <w:ilvl w:val="2"/>
                <w:numId w:val="23"/>
              </w:numPr>
              <w:pBdr>
                <w:top w:val="nil"/>
                <w:left w:val="nil"/>
                <w:bottom w:val="nil"/>
                <w:right w:val="nil"/>
                <w:between w:val="nil"/>
              </w:pBdr>
              <w:spacing w:after="240"/>
              <w:ind w:left="720"/>
            </w:pPr>
            <w:r>
              <w:rPr>
                <w:rFonts w:ascii="Arial" w:eastAsia="Arial" w:hAnsi="Arial" w:cs="Arial"/>
                <w:b w:val="0"/>
                <w:color w:val="000000"/>
              </w:rPr>
              <w:t>coding;</w:t>
            </w:r>
          </w:p>
          <w:p w:rsidR="005F4C24" w:rsidRDefault="004C2B0D">
            <w:pPr>
              <w:numPr>
                <w:ilvl w:val="2"/>
                <w:numId w:val="31"/>
              </w:numPr>
              <w:pBdr>
                <w:top w:val="nil"/>
                <w:left w:val="nil"/>
                <w:bottom w:val="nil"/>
                <w:right w:val="nil"/>
                <w:between w:val="nil"/>
              </w:pBdr>
              <w:spacing w:after="240"/>
              <w:ind w:left="720"/>
            </w:pPr>
            <w:r>
              <w:rPr>
                <w:rFonts w:ascii="Arial" w:eastAsia="Arial" w:hAnsi="Arial" w:cs="Arial"/>
                <w:b w:val="0"/>
                <w:color w:val="000000"/>
              </w:rPr>
              <w:t>testing;</w:t>
            </w:r>
          </w:p>
          <w:p w:rsidR="005F4C24" w:rsidRDefault="004C2B0D">
            <w:pPr>
              <w:numPr>
                <w:ilvl w:val="2"/>
                <w:numId w:val="31"/>
              </w:numPr>
              <w:pBdr>
                <w:top w:val="nil"/>
                <w:left w:val="nil"/>
                <w:bottom w:val="nil"/>
                <w:right w:val="nil"/>
                <w:between w:val="nil"/>
              </w:pBdr>
              <w:spacing w:after="240"/>
              <w:ind w:left="720"/>
            </w:pPr>
            <w:r>
              <w:rPr>
                <w:rFonts w:ascii="Arial" w:eastAsia="Arial" w:hAnsi="Arial" w:cs="Arial"/>
                <w:b w:val="0"/>
                <w:color w:val="000000"/>
              </w:rPr>
              <w:t>code storage; and</w:t>
            </w:r>
          </w:p>
          <w:p w:rsidR="005F4C24" w:rsidRDefault="004C2B0D">
            <w:pPr>
              <w:numPr>
                <w:ilvl w:val="2"/>
                <w:numId w:val="31"/>
              </w:numPr>
              <w:pBdr>
                <w:top w:val="nil"/>
                <w:left w:val="nil"/>
                <w:bottom w:val="nil"/>
                <w:right w:val="nil"/>
                <w:between w:val="nil"/>
              </w:pBdr>
              <w:spacing w:after="240"/>
              <w:ind w:left="720"/>
            </w:pPr>
            <w:r>
              <w:rPr>
                <w:rFonts w:ascii="Arial" w:eastAsia="Arial" w:hAnsi="Arial" w:cs="Arial"/>
                <w:b w:val="0"/>
                <w:color w:val="000000"/>
              </w:rPr>
              <w:t>deployment.</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Development Environment</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any information and communications technology system and the Sites forming part of the Supplier Information Management System that the Supplier or its Sub-contractors will use to provide the Development Activity.</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EEA</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the European Economic Area.</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End-user Device</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any personal computers, laptops, tablets, terminals, smartphones or other portable electronic device used in the provision of the Services.</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Email Service</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a service that will send, or can be used to send, emails from the Authority’s email address or otherwise on behalf of the Authority.</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color w:val="000000"/>
              </w:rPr>
              <w:t>Higher Risk Sub-contractor</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a Sub-contractor that Processes Authority Data, where that data includes either:</w:t>
            </w:r>
          </w:p>
          <w:p w:rsidR="005F4C24" w:rsidRDefault="004C2B0D">
            <w:pPr>
              <w:numPr>
                <w:ilvl w:val="2"/>
                <w:numId w:val="25"/>
              </w:numPr>
              <w:pBdr>
                <w:top w:val="nil"/>
                <w:left w:val="nil"/>
                <w:bottom w:val="nil"/>
                <w:right w:val="nil"/>
                <w:between w:val="nil"/>
              </w:pBdr>
              <w:spacing w:after="240"/>
              <w:ind w:left="720"/>
            </w:pPr>
            <w:r>
              <w:rPr>
                <w:rFonts w:ascii="Arial" w:eastAsia="Arial" w:hAnsi="Arial" w:cs="Arial"/>
                <w:b w:val="0"/>
                <w:color w:val="000000"/>
              </w:rPr>
              <w:t>the Personal Data of 1000 or more individuals in aggregate during the period between the first Operational Service Commencement Date and the date on which this Contract terminates in accordance with Clause 4.1(b); or</w:t>
            </w:r>
          </w:p>
          <w:p w:rsidR="005F4C24" w:rsidRDefault="004C2B0D">
            <w:pPr>
              <w:numPr>
                <w:ilvl w:val="2"/>
                <w:numId w:val="23"/>
              </w:numPr>
              <w:pBdr>
                <w:top w:val="nil"/>
                <w:left w:val="nil"/>
                <w:bottom w:val="nil"/>
                <w:right w:val="nil"/>
                <w:between w:val="nil"/>
              </w:pBdr>
              <w:spacing w:after="240"/>
              <w:ind w:left="720"/>
            </w:pPr>
            <w:r>
              <w:rPr>
                <w:rFonts w:ascii="Arial" w:eastAsia="Arial" w:hAnsi="Arial" w:cs="Arial"/>
                <w:b w:val="0"/>
                <w:color w:val="000000"/>
              </w:rPr>
              <w:t>any part of that Personal Data includes any of the following:</w:t>
            </w:r>
          </w:p>
          <w:p w:rsidR="005F4C24" w:rsidRDefault="004C2B0D">
            <w:pPr>
              <w:numPr>
                <w:ilvl w:val="3"/>
                <w:numId w:val="23"/>
              </w:numPr>
              <w:pBdr>
                <w:top w:val="nil"/>
                <w:left w:val="nil"/>
                <w:bottom w:val="nil"/>
                <w:right w:val="nil"/>
                <w:between w:val="nil"/>
              </w:pBdr>
              <w:spacing w:after="240"/>
              <w:ind w:left="1440"/>
            </w:pPr>
            <w:r>
              <w:rPr>
                <w:rFonts w:ascii="Arial" w:eastAsia="Arial" w:hAnsi="Arial" w:cs="Arial"/>
                <w:b w:val="0"/>
                <w:color w:val="000000"/>
              </w:rPr>
              <w:lastRenderedPageBreak/>
              <w:t>financial information (including any tax and/or welfare information) relating to any person;</w:t>
            </w:r>
          </w:p>
          <w:p w:rsidR="005F4C24" w:rsidRDefault="004C2B0D">
            <w:pPr>
              <w:numPr>
                <w:ilvl w:val="3"/>
                <w:numId w:val="23"/>
              </w:numPr>
              <w:pBdr>
                <w:top w:val="nil"/>
                <w:left w:val="nil"/>
                <w:bottom w:val="nil"/>
                <w:right w:val="nil"/>
                <w:between w:val="nil"/>
              </w:pBdr>
              <w:spacing w:after="240"/>
              <w:ind w:left="1440"/>
            </w:pPr>
            <w:r>
              <w:rPr>
                <w:rFonts w:ascii="Arial" w:eastAsia="Arial" w:hAnsi="Arial" w:cs="Arial"/>
                <w:b w:val="0"/>
                <w:color w:val="000000"/>
              </w:rPr>
              <w:t>any information relating to actual or alleged criminal offences (including criminal records);</w:t>
            </w:r>
          </w:p>
          <w:p w:rsidR="005F4C24" w:rsidRDefault="004C2B0D">
            <w:pPr>
              <w:numPr>
                <w:ilvl w:val="3"/>
                <w:numId w:val="23"/>
              </w:numPr>
              <w:pBdr>
                <w:top w:val="nil"/>
                <w:left w:val="nil"/>
                <w:bottom w:val="nil"/>
                <w:right w:val="nil"/>
                <w:between w:val="nil"/>
              </w:pBdr>
              <w:spacing w:after="240"/>
              <w:ind w:left="1440"/>
            </w:pPr>
            <w:r>
              <w:rPr>
                <w:rFonts w:ascii="Arial" w:eastAsia="Arial" w:hAnsi="Arial" w:cs="Arial"/>
                <w:b w:val="0"/>
                <w:color w:val="000000"/>
              </w:rPr>
              <w:t>any information relating to children and/or vulnerable persons;</w:t>
            </w:r>
          </w:p>
          <w:p w:rsidR="005F4C24" w:rsidRDefault="004C2B0D">
            <w:pPr>
              <w:numPr>
                <w:ilvl w:val="3"/>
                <w:numId w:val="23"/>
              </w:numPr>
              <w:pBdr>
                <w:top w:val="nil"/>
                <w:left w:val="nil"/>
                <w:bottom w:val="nil"/>
                <w:right w:val="nil"/>
                <w:between w:val="nil"/>
              </w:pBdr>
              <w:spacing w:after="240"/>
              <w:ind w:left="1440"/>
            </w:pPr>
            <w:r>
              <w:rPr>
                <w:rFonts w:ascii="Arial" w:eastAsia="Arial" w:hAnsi="Arial" w:cs="Arial"/>
                <w:b w:val="0"/>
                <w:color w:val="000000"/>
              </w:rPr>
              <w:t>any information relating to social care;</w:t>
            </w:r>
          </w:p>
          <w:p w:rsidR="005F4C24" w:rsidRDefault="004C2B0D">
            <w:pPr>
              <w:numPr>
                <w:ilvl w:val="3"/>
                <w:numId w:val="23"/>
              </w:numPr>
              <w:pBdr>
                <w:top w:val="nil"/>
                <w:left w:val="nil"/>
                <w:bottom w:val="nil"/>
                <w:right w:val="nil"/>
                <w:between w:val="nil"/>
              </w:pBdr>
              <w:spacing w:after="240"/>
              <w:ind w:left="1440"/>
            </w:pPr>
            <w:r>
              <w:rPr>
                <w:rFonts w:ascii="Arial" w:eastAsia="Arial" w:hAnsi="Arial" w:cs="Arial"/>
                <w:b w:val="0"/>
                <w:color w:val="000000"/>
              </w:rPr>
              <w:t>any information relating to a person’s current or past employment; or</w:t>
            </w:r>
          </w:p>
          <w:p w:rsidR="005F4C24" w:rsidRDefault="004C2B0D">
            <w:pPr>
              <w:numPr>
                <w:ilvl w:val="3"/>
                <w:numId w:val="23"/>
              </w:numPr>
              <w:pBdr>
                <w:top w:val="nil"/>
                <w:left w:val="nil"/>
                <w:bottom w:val="nil"/>
                <w:right w:val="nil"/>
                <w:between w:val="nil"/>
              </w:pBdr>
              <w:spacing w:after="240"/>
              <w:ind w:left="1440"/>
            </w:pPr>
            <w:r>
              <w:rPr>
                <w:rFonts w:ascii="Arial" w:eastAsia="Arial" w:hAnsi="Arial" w:cs="Arial"/>
                <w:b w:val="0"/>
                <w:color w:val="000000"/>
              </w:rPr>
              <w:t>Special Category Personal Data; or</w:t>
            </w:r>
          </w:p>
          <w:p w:rsidR="005F4C24" w:rsidRDefault="004C2B0D">
            <w:pPr>
              <w:numPr>
                <w:ilvl w:val="2"/>
                <w:numId w:val="23"/>
              </w:numPr>
              <w:pBdr>
                <w:top w:val="nil"/>
                <w:left w:val="nil"/>
                <w:bottom w:val="nil"/>
                <w:right w:val="nil"/>
                <w:between w:val="nil"/>
              </w:pBdr>
              <w:spacing w:after="240"/>
              <w:ind w:left="720"/>
            </w:pPr>
            <w:r>
              <w:rPr>
                <w:rFonts w:ascii="Arial" w:eastAsia="Arial" w:hAnsi="Arial" w:cs="Arial"/>
                <w:b w:val="0"/>
                <w:color w:val="000000"/>
              </w:rPr>
              <w:t>the Authority in its discretion, designates a Sub-contractor as a Higher Risk Sub-Contractor:</w:t>
            </w:r>
          </w:p>
          <w:p w:rsidR="005F4C24" w:rsidRDefault="004C2B0D">
            <w:pPr>
              <w:numPr>
                <w:ilvl w:val="3"/>
                <w:numId w:val="23"/>
              </w:numPr>
              <w:pBdr>
                <w:top w:val="nil"/>
                <w:left w:val="nil"/>
                <w:bottom w:val="nil"/>
                <w:right w:val="nil"/>
                <w:between w:val="nil"/>
              </w:pBdr>
              <w:spacing w:after="240"/>
              <w:ind w:left="1440"/>
            </w:pPr>
            <w:r>
              <w:rPr>
                <w:rFonts w:ascii="Arial" w:eastAsia="Arial" w:hAnsi="Arial" w:cs="Arial"/>
                <w:b w:val="0"/>
                <w:color w:val="000000"/>
              </w:rPr>
              <w:t>in any procurement document related to this Contract; or</w:t>
            </w:r>
          </w:p>
          <w:p w:rsidR="005F4C24" w:rsidRDefault="004C2B0D">
            <w:pPr>
              <w:numPr>
                <w:ilvl w:val="3"/>
                <w:numId w:val="23"/>
              </w:numPr>
              <w:pBdr>
                <w:top w:val="nil"/>
                <w:left w:val="nil"/>
                <w:bottom w:val="nil"/>
                <w:right w:val="nil"/>
                <w:between w:val="nil"/>
              </w:pBdr>
              <w:spacing w:after="240"/>
              <w:ind w:left="1440"/>
            </w:pPr>
            <w:r>
              <w:rPr>
                <w:rFonts w:ascii="Arial" w:eastAsia="Arial" w:hAnsi="Arial" w:cs="Arial"/>
                <w:b w:val="0"/>
                <w:color w:val="000000"/>
              </w:rPr>
              <w:t>during the Term</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lastRenderedPageBreak/>
              <w:t>HMG Baseline Personnel Security Standard</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the employment controls applied to any individual member of the Supplier Personnel that performs any activity relating to the provision or management of the Services, as set out in “HMG Baseline Personnel Standard”, Version 6.0, May 2018  (</w:t>
            </w:r>
            <w:hyperlink r:id="rId12">
              <w:r>
                <w:rPr>
                  <w:rFonts w:ascii="Arial" w:eastAsia="Arial" w:hAnsi="Arial" w:cs="Arial"/>
                  <w:b w:val="0"/>
                  <w:color w:val="0563C1"/>
                  <w:u w:val="single"/>
                </w:rPr>
                <w:t>https://assets.publishing.service.gov.uk</w:t>
              </w:r>
              <w:r>
                <w:rPr>
                  <w:rFonts w:ascii="Arial" w:eastAsia="Arial" w:hAnsi="Arial" w:cs="Arial"/>
                  <w:b w:val="0"/>
                  <w:color w:val="0563C1"/>
                  <w:u w:val="single"/>
                </w:rPr>
                <w:br/>
                <w:t>/government/uploads/system/uploads/</w:t>
              </w:r>
              <w:proofErr w:type="spellStart"/>
              <w:r>
                <w:rPr>
                  <w:rFonts w:ascii="Arial" w:eastAsia="Arial" w:hAnsi="Arial" w:cs="Arial"/>
                  <w:b w:val="0"/>
                  <w:color w:val="0563C1"/>
                  <w:u w:val="single"/>
                </w:rPr>
                <w:t>attachment_data</w:t>
              </w:r>
              <w:proofErr w:type="spellEnd"/>
              <w:r>
                <w:rPr>
                  <w:rFonts w:ascii="Arial" w:eastAsia="Arial" w:hAnsi="Arial" w:cs="Arial"/>
                  <w:b w:val="0"/>
                  <w:color w:val="0563C1"/>
                  <w:u w:val="single"/>
                </w:rPr>
                <w:t>/file/714002/</w:t>
              </w:r>
              <w:r>
                <w:rPr>
                  <w:rFonts w:ascii="Arial" w:eastAsia="Arial" w:hAnsi="Arial" w:cs="Arial"/>
                  <w:b w:val="0"/>
                  <w:color w:val="0563C1"/>
                  <w:u w:val="single"/>
                </w:rPr>
                <w:br/>
                <w:t>HMG_Baseline_Personnel_Security_Standard_-_May_2018.pdf</w:t>
              </w:r>
            </w:hyperlink>
            <w:r>
              <w:rPr>
                <w:rFonts w:ascii="Arial" w:eastAsia="Arial" w:hAnsi="Arial" w:cs="Arial"/>
                <w:b w:val="0"/>
                <w:color w:val="000000"/>
              </w:rPr>
              <w:t>), as that document is updated from time to time.</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Independent Security Adviser</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the independent and appropriately qualified and experienced security architect or expert appointed under Paragraph 18.</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bookmarkStart w:id="15" w:name="_heading=h.2bn6wsx" w:colFirst="0" w:colLast="0"/>
            <w:bookmarkEnd w:id="15"/>
            <w:r>
              <w:rPr>
                <w:rFonts w:ascii="Arial" w:eastAsia="Arial" w:hAnsi="Arial" w:cs="Arial"/>
                <w:color w:val="000000"/>
              </w:rPr>
              <w:t>ISO Certification</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w:t>
            </w:r>
          </w:p>
          <w:p w:rsidR="005F4C24" w:rsidRDefault="004C2B0D">
            <w:pPr>
              <w:numPr>
                <w:ilvl w:val="2"/>
                <w:numId w:val="4"/>
              </w:numPr>
              <w:pBdr>
                <w:top w:val="nil"/>
                <w:left w:val="nil"/>
                <w:bottom w:val="nil"/>
                <w:right w:val="nil"/>
                <w:between w:val="nil"/>
              </w:pBdr>
              <w:spacing w:after="240"/>
              <w:ind w:left="720"/>
            </w:pPr>
            <w:r>
              <w:rPr>
                <w:rFonts w:ascii="Arial" w:eastAsia="Arial" w:hAnsi="Arial" w:cs="Arial"/>
                <w:b w:val="0"/>
                <w:color w:val="000000"/>
              </w:rPr>
              <w:t>ISO/IEC27001:2013, where the certification was obtained before November 2022, but only until November 2025; and</w:t>
            </w:r>
          </w:p>
          <w:p w:rsidR="005F4C24" w:rsidRDefault="004C2B0D">
            <w:pPr>
              <w:numPr>
                <w:ilvl w:val="2"/>
                <w:numId w:val="23"/>
              </w:numPr>
              <w:pBdr>
                <w:top w:val="nil"/>
                <w:left w:val="nil"/>
                <w:bottom w:val="nil"/>
                <w:right w:val="nil"/>
                <w:between w:val="nil"/>
              </w:pBdr>
              <w:spacing w:after="240"/>
              <w:ind w:left="720"/>
            </w:pPr>
            <w:r>
              <w:rPr>
                <w:rFonts w:ascii="Arial" w:eastAsia="Arial" w:hAnsi="Arial" w:cs="Arial"/>
                <w:b w:val="0"/>
                <w:color w:val="000000"/>
              </w:rPr>
              <w:t>ISO/IEC27001:2022 in all other cases.</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IT Health Check</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testing of the Supplier Information Management System by a CHECK Service Provider.</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bookmarkStart w:id="16" w:name="_heading=h.qsh70q" w:colFirst="0" w:colLast="0"/>
            <w:bookmarkEnd w:id="16"/>
            <w:r>
              <w:rPr>
                <w:rFonts w:ascii="Arial" w:eastAsia="Arial" w:hAnsi="Arial" w:cs="Arial"/>
                <w:color w:val="000000"/>
              </w:rPr>
              <w:t>Key Sub-contractor</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any Sub-contractor:</w:t>
            </w:r>
          </w:p>
          <w:p w:rsidR="005F4C24" w:rsidRDefault="004C2B0D">
            <w:pPr>
              <w:numPr>
                <w:ilvl w:val="2"/>
                <w:numId w:val="35"/>
              </w:numPr>
              <w:pBdr>
                <w:top w:val="nil"/>
                <w:left w:val="nil"/>
                <w:bottom w:val="nil"/>
                <w:right w:val="nil"/>
                <w:between w:val="nil"/>
              </w:pBdr>
              <w:spacing w:after="240"/>
              <w:ind w:left="720"/>
            </w:pPr>
            <w:r>
              <w:rPr>
                <w:rFonts w:ascii="Arial" w:eastAsia="Arial" w:hAnsi="Arial" w:cs="Arial"/>
                <w:b w:val="0"/>
                <w:color w:val="000000"/>
              </w:rPr>
              <w:t>which, in the opinion of the Authority, performs (or would perform if appointed) a critical role in the provision of all or any part of the Services; and/or</w:t>
            </w:r>
          </w:p>
          <w:p w:rsidR="005F4C24" w:rsidRDefault="004C2B0D">
            <w:pPr>
              <w:numPr>
                <w:ilvl w:val="2"/>
                <w:numId w:val="4"/>
              </w:numPr>
              <w:pBdr>
                <w:top w:val="nil"/>
                <w:left w:val="nil"/>
                <w:bottom w:val="nil"/>
                <w:right w:val="nil"/>
                <w:between w:val="nil"/>
              </w:pBdr>
              <w:spacing w:after="240"/>
              <w:ind w:left="720"/>
            </w:pPr>
            <w:r>
              <w:rPr>
                <w:rFonts w:ascii="Arial" w:eastAsia="Arial" w:hAnsi="Arial" w:cs="Arial"/>
                <w:b w:val="0"/>
                <w:color w:val="000000"/>
              </w:rPr>
              <w:t xml:space="preserve">with a Sub-contract with a contract value which at the time of appointment exceeds (or would exceed if appointed) </w:t>
            </w:r>
            <w:r>
              <w:rPr>
                <w:rFonts w:ascii="Arial" w:eastAsia="Arial" w:hAnsi="Arial" w:cs="Arial"/>
                <w:b w:val="0"/>
                <w:color w:val="000000"/>
              </w:rPr>
              <w:lastRenderedPageBreak/>
              <w:t>10% of the aggregate Charges forecast to be payable under this Contract (as set out in the Financial Model).</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lastRenderedPageBreak/>
              <w:t>Key Sub-contractor Default</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has the meaning set out in paragraph </w:t>
            </w:r>
            <w:proofErr w:type="gramStart"/>
            <w:r>
              <w:rPr>
                <w:rFonts w:ascii="Arial" w:eastAsia="Arial" w:hAnsi="Arial" w:cs="Arial"/>
                <w:b w:val="0"/>
                <w:color w:val="000000"/>
              </w:rPr>
              <w:t>10.4.</w:t>
            </w:r>
            <w:proofErr w:type="gramEnd"/>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Losses</w:t>
            </w:r>
          </w:p>
        </w:tc>
        <w:tc>
          <w:tcPr>
            <w:tcW w:w="6226" w:type="dxa"/>
          </w:tcPr>
          <w:p w:rsidR="005F4C24" w:rsidRDefault="004C2B0D">
            <w:pPr>
              <w:spacing w:before="120" w:after="120"/>
              <w:rPr>
                <w:rFonts w:ascii="Arial" w:eastAsia="Arial" w:hAnsi="Arial" w:cs="Arial"/>
                <w:b w:val="0"/>
                <w:color w:val="000000"/>
              </w:rPr>
            </w:pPr>
            <w:r>
              <w:rPr>
                <w:rFonts w:ascii="Arial" w:eastAsia="Arial" w:hAnsi="Arial" w:cs="Arial"/>
                <w:b w:val="0"/>
                <w:color w:val="000000"/>
              </w:rPr>
              <w:t xml:space="preserve">means any loss of Buyer data; the integrity of that data, the availability of that data, or the confidentiality of that data; or the resulting reputational impact that such a loss may bring about. </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Malicious Software</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color w:val="000000"/>
              </w:rPr>
              <w:t>Medium Risk Sub-contractor</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a Sub-contractor that Processes Authority Data, [where that data</w:t>
            </w:r>
          </w:p>
          <w:p w:rsidR="005F4C24" w:rsidRDefault="004C2B0D">
            <w:pPr>
              <w:numPr>
                <w:ilvl w:val="2"/>
                <w:numId w:val="37"/>
              </w:numPr>
              <w:pBdr>
                <w:top w:val="nil"/>
                <w:left w:val="nil"/>
                <w:bottom w:val="nil"/>
                <w:right w:val="nil"/>
                <w:between w:val="nil"/>
              </w:pBdr>
              <w:spacing w:after="240"/>
              <w:ind w:left="720"/>
            </w:pPr>
            <w:r>
              <w:rPr>
                <w:rFonts w:ascii="Arial" w:eastAsia="Arial" w:hAnsi="Arial" w:cs="Arial"/>
                <w:b w:val="0"/>
                <w:color w:val="000000"/>
              </w:rPr>
              <w:t>includes the Personal Data of between 100 and 999 individuals (inclusive) in the period between the first Operational Service Commencement Date and the date on which this Contract terminates in accordance with Clause 4.1(b); and</w:t>
            </w:r>
          </w:p>
          <w:p w:rsidR="005F4C24" w:rsidRDefault="004C2B0D">
            <w:pPr>
              <w:numPr>
                <w:ilvl w:val="2"/>
                <w:numId w:val="4"/>
              </w:numPr>
              <w:pBdr>
                <w:top w:val="nil"/>
                <w:left w:val="nil"/>
                <w:bottom w:val="nil"/>
                <w:right w:val="nil"/>
                <w:between w:val="nil"/>
              </w:pBdr>
              <w:spacing w:after="240"/>
              <w:ind w:left="720"/>
            </w:pPr>
            <w:r>
              <w:rPr>
                <w:rFonts w:ascii="Arial" w:eastAsia="Arial" w:hAnsi="Arial" w:cs="Arial"/>
                <w:b w:val="0"/>
                <w:color w:val="000000"/>
              </w:rPr>
              <w:t>does not include Special Category Personal Data.</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Modules Register</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the register of Third-party Software Modules required by paragraph 7.2 of the Security Requirements</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NCSC</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the National Cyber Security Centre or any replacement or successor body carrying out the same function.</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NCSC Cloud Security Principles</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the NCSC’s document "Implementing the Cloud Security Principles" as updated or replaced from time to time and found at https://www.ncsc.gov.uk/collection/cloud-security/</w:t>
            </w:r>
            <w:r>
              <w:rPr>
                <w:rFonts w:ascii="Arial" w:eastAsia="Arial" w:hAnsi="Arial" w:cs="Arial"/>
                <w:b w:val="0"/>
                <w:color w:val="000000"/>
              </w:rPr>
              <w:br/>
              <w:t>implementing-the-cloud-security-principles.</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NCSC Device Guidance</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 xml:space="preserve">means the NCSC’s document "Device Security Guidance", as updated or replaced from time to time and found at </w:t>
            </w:r>
            <w:hyperlink r:id="rId13">
              <w:r>
                <w:rPr>
                  <w:rFonts w:ascii="Arial" w:eastAsia="Arial" w:hAnsi="Arial" w:cs="Arial"/>
                  <w:b w:val="0"/>
                  <w:color w:val="1155CC"/>
                  <w:u w:val="single"/>
                </w:rPr>
                <w:t>https://www.ncsc.gov.uk/collection/device-security-guidance</w:t>
              </w:r>
            </w:hyperlink>
            <w:r>
              <w:rPr>
                <w:rFonts w:ascii="Arial" w:eastAsia="Arial" w:hAnsi="Arial" w:cs="Arial"/>
                <w:b w:val="0"/>
                <w:color w:val="000000"/>
              </w:rPr>
              <w:t>.</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NCSC Protecting Bulk Personal Data Guidance</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 xml:space="preserve">means the NCSC’s document "Protecting Bulk Personal Data", as updated or replaced from time to time and found at </w:t>
            </w:r>
            <w:hyperlink r:id="rId14">
              <w:r>
                <w:rPr>
                  <w:rFonts w:ascii="Arial" w:eastAsia="Arial" w:hAnsi="Arial" w:cs="Arial"/>
                  <w:b w:val="0"/>
                  <w:color w:val="1155CC"/>
                  <w:u w:val="single"/>
                </w:rPr>
                <w:t>https://www.ncsc.gov.uk/collection/protecting-bulk-personal-data</w:t>
              </w:r>
            </w:hyperlink>
            <w:r>
              <w:rPr>
                <w:rFonts w:ascii="Arial" w:eastAsia="Arial" w:hAnsi="Arial" w:cs="Arial"/>
                <w:b w:val="0"/>
                <w:color w:val="000000"/>
              </w:rPr>
              <w:t>.</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NCSC Secure Design Principles</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 xml:space="preserve">means the NCSC’s document "Secure Design Principles", as updated or replaced from time to time and found at </w:t>
            </w:r>
            <w:hyperlink r:id="rId15">
              <w:r>
                <w:rPr>
                  <w:rFonts w:ascii="Arial" w:eastAsia="Arial" w:hAnsi="Arial" w:cs="Arial"/>
                  <w:b w:val="0"/>
                  <w:color w:val="1155CC"/>
                  <w:u w:val="single"/>
                </w:rPr>
                <w:t>https://www.ncsc.gov.uk/collection/cyber-security-design-principles</w:t>
              </w:r>
            </w:hyperlink>
            <w:r>
              <w:rPr>
                <w:rFonts w:ascii="Arial" w:eastAsia="Arial" w:hAnsi="Arial" w:cs="Arial"/>
                <w:b w:val="0"/>
                <w:color w:val="000000"/>
              </w:rPr>
              <w:t>.</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OWASP</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the Open Web Application Security Project Foundation.</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OWASP Secure Coding Practice</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 xml:space="preserve">means the Secure Coding Practices Quick Reference Guide published by OWASP, as updated or replaced from time to time and found at </w:t>
            </w:r>
            <w:hyperlink r:id="rId16" w:anchor=":~:text=The%20Secure%20Coding%20Practices%20Quick,then%20on%20vulnerabilities%20or%20exploits.">
              <w:r>
                <w:rPr>
                  <w:rFonts w:ascii="Arial" w:eastAsia="Arial" w:hAnsi="Arial" w:cs="Arial"/>
                  <w:b w:val="0"/>
                  <w:color w:val="0563C1"/>
                  <w:u w:val="single"/>
                </w:rPr>
                <w:t xml:space="preserve">https://owasp.org/www-project-secure-coding-practices-quick-reference-guide/#:~:text=The%20Secure%20 </w:t>
              </w:r>
              <w:r>
                <w:rPr>
                  <w:rFonts w:ascii="Arial" w:eastAsia="Arial" w:hAnsi="Arial" w:cs="Arial"/>
                  <w:b w:val="0"/>
                  <w:color w:val="0563C1"/>
                  <w:u w:val="single"/>
                </w:rPr>
                <w:lastRenderedPageBreak/>
                <w:t>Coding%20Practices%20 Quick,then%20on%20vulnerabilities%20or%20exploits</w:t>
              </w:r>
            </w:hyperlink>
            <w:r>
              <w:rPr>
                <w:rFonts w:ascii="Arial" w:eastAsia="Arial" w:hAnsi="Arial" w:cs="Arial"/>
                <w:b w:val="0"/>
                <w:color w:val="000000"/>
              </w:rPr>
              <w:t>.</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lastRenderedPageBreak/>
              <w:t>OWASP Top Ten</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 xml:space="preserve">means the list of the most critical security risks to web applications published annually by OWASP and found at </w:t>
            </w:r>
            <w:hyperlink r:id="rId17">
              <w:r>
                <w:rPr>
                  <w:rFonts w:ascii="Arial" w:eastAsia="Arial" w:hAnsi="Arial" w:cs="Arial"/>
                  <w:b w:val="0"/>
                  <w:color w:val="0563C1"/>
                  <w:u w:val="single"/>
                </w:rPr>
                <w:t>https://owasp.org/www-project-top-ten/</w:t>
              </w:r>
            </w:hyperlink>
            <w:r>
              <w:rPr>
                <w:rFonts w:ascii="Arial" w:eastAsia="Arial" w:hAnsi="Arial" w:cs="Arial"/>
                <w:b w:val="0"/>
                <w:color w:val="000000"/>
              </w:rPr>
              <w:t>.</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Privileged User</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a user with system administration access to the Supplier Information Management System, or substantially similar access privileges.</w:t>
            </w:r>
          </w:p>
        </w:tc>
      </w:tr>
      <w:tr w:rsidR="005F4C24">
        <w:tc>
          <w:tcPr>
            <w:tcW w:w="2073" w:type="dxa"/>
          </w:tcPr>
          <w:p w:rsidR="005F4C24" w:rsidRDefault="004C2B0D">
            <w:pPr>
              <w:keepNext/>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Process</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Prohibited Activity</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the storage, access or Processing of Authority Data prohibited by a Prohibition Notice.</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Prohibition Notice</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a notice issued under paragraph 1.10 of the Security Requirements.</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Protective Monitoring System</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the system implemented by the Supplier and its Sub-contractors under paragraph 12.1 of the Security Requirements to monitor and analyse access to and use of the Supplier Information Management System, the Development Environment, the Authority Data and the Code.</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RAP Trigger</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the occurrence of one of the events set out in paragraph 17.1.</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Register of Sites, Support Locations and Third-Party Tools</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the part of the Security Management Plan setting out, in respect of Sites, Support Locations and Third-Party Tools:</w:t>
            </w:r>
          </w:p>
          <w:p w:rsidR="005F4C24" w:rsidRDefault="004C2B0D">
            <w:pPr>
              <w:numPr>
                <w:ilvl w:val="2"/>
                <w:numId w:val="38"/>
              </w:numPr>
              <w:pBdr>
                <w:top w:val="nil"/>
                <w:left w:val="nil"/>
                <w:bottom w:val="nil"/>
                <w:right w:val="nil"/>
                <w:between w:val="nil"/>
              </w:pBdr>
              <w:spacing w:after="240"/>
              <w:ind w:left="720"/>
            </w:pPr>
            <w:r>
              <w:rPr>
                <w:rFonts w:ascii="Arial" w:eastAsia="Arial" w:hAnsi="Arial" w:cs="Arial"/>
                <w:b w:val="0"/>
                <w:color w:val="000000"/>
              </w:rPr>
              <w:t>the Sites, Support Locations and Third-party Tools that the Supplier will use to Process Authority Data or provide the Services;</w:t>
            </w:r>
          </w:p>
          <w:p w:rsidR="005F4C24" w:rsidRDefault="004C2B0D">
            <w:pPr>
              <w:numPr>
                <w:ilvl w:val="2"/>
                <w:numId w:val="37"/>
              </w:numPr>
              <w:pBdr>
                <w:top w:val="nil"/>
                <w:left w:val="nil"/>
                <w:bottom w:val="nil"/>
                <w:right w:val="nil"/>
                <w:between w:val="nil"/>
              </w:pBdr>
              <w:spacing w:after="240"/>
              <w:ind w:left="720"/>
            </w:pPr>
            <w:r>
              <w:rPr>
                <w:rFonts w:ascii="Arial" w:eastAsia="Arial" w:hAnsi="Arial" w:cs="Arial"/>
                <w:b w:val="0"/>
                <w:color w:val="000000"/>
              </w:rPr>
              <w:t>the nature of the activity performed at the Site or Support Location or by the Third-Party Tool in respect of the Authority Data;</w:t>
            </w:r>
          </w:p>
          <w:p w:rsidR="005F4C24" w:rsidRDefault="004C2B0D">
            <w:pPr>
              <w:numPr>
                <w:ilvl w:val="2"/>
                <w:numId w:val="37"/>
              </w:numPr>
              <w:pBdr>
                <w:top w:val="nil"/>
                <w:left w:val="nil"/>
                <w:bottom w:val="nil"/>
                <w:right w:val="nil"/>
                <w:between w:val="nil"/>
              </w:pBdr>
              <w:spacing w:after="240"/>
              <w:ind w:left="720"/>
            </w:pPr>
            <w:r>
              <w:rPr>
                <w:rFonts w:ascii="Arial" w:eastAsia="Arial" w:hAnsi="Arial" w:cs="Arial"/>
                <w:b w:val="0"/>
                <w:color w:val="000000"/>
              </w:rPr>
              <w:t>in respect of each entity providing a Site, Support Location or Third-Party Tool, its:</w:t>
            </w:r>
          </w:p>
          <w:p w:rsidR="005F4C24" w:rsidRDefault="004C2B0D">
            <w:pPr>
              <w:numPr>
                <w:ilvl w:val="3"/>
                <w:numId w:val="37"/>
              </w:numPr>
              <w:pBdr>
                <w:top w:val="nil"/>
                <w:left w:val="nil"/>
                <w:bottom w:val="nil"/>
                <w:right w:val="nil"/>
                <w:between w:val="nil"/>
              </w:pBdr>
              <w:spacing w:after="240"/>
              <w:ind w:left="1440"/>
            </w:pPr>
            <w:r>
              <w:rPr>
                <w:rFonts w:ascii="Arial" w:eastAsia="Arial" w:hAnsi="Arial" w:cs="Arial"/>
                <w:b w:val="0"/>
                <w:color w:val="000000"/>
              </w:rPr>
              <w:t>full legal name;</w:t>
            </w:r>
          </w:p>
          <w:p w:rsidR="005F4C24" w:rsidRDefault="004C2B0D">
            <w:pPr>
              <w:numPr>
                <w:ilvl w:val="3"/>
                <w:numId w:val="37"/>
              </w:numPr>
              <w:pBdr>
                <w:top w:val="nil"/>
                <w:left w:val="nil"/>
                <w:bottom w:val="nil"/>
                <w:right w:val="nil"/>
                <w:between w:val="nil"/>
              </w:pBdr>
              <w:spacing w:after="240"/>
              <w:ind w:left="1440"/>
            </w:pPr>
            <w:r>
              <w:rPr>
                <w:rFonts w:ascii="Arial" w:eastAsia="Arial" w:hAnsi="Arial" w:cs="Arial"/>
                <w:b w:val="0"/>
                <w:color w:val="000000"/>
              </w:rPr>
              <w:t>trading name (if any)</w:t>
            </w:r>
          </w:p>
          <w:p w:rsidR="005F4C24" w:rsidRDefault="004C2B0D">
            <w:pPr>
              <w:numPr>
                <w:ilvl w:val="3"/>
                <w:numId w:val="37"/>
              </w:numPr>
              <w:pBdr>
                <w:top w:val="nil"/>
                <w:left w:val="nil"/>
                <w:bottom w:val="nil"/>
                <w:right w:val="nil"/>
                <w:between w:val="nil"/>
              </w:pBdr>
              <w:spacing w:after="240"/>
              <w:ind w:left="1440"/>
            </w:pPr>
            <w:r>
              <w:rPr>
                <w:rFonts w:ascii="Arial" w:eastAsia="Arial" w:hAnsi="Arial" w:cs="Arial"/>
                <w:b w:val="0"/>
                <w:color w:val="000000"/>
              </w:rPr>
              <w:t>country of registration;</w:t>
            </w:r>
          </w:p>
          <w:p w:rsidR="005F4C24" w:rsidRDefault="004C2B0D">
            <w:pPr>
              <w:numPr>
                <w:ilvl w:val="3"/>
                <w:numId w:val="37"/>
              </w:numPr>
              <w:pBdr>
                <w:top w:val="nil"/>
                <w:left w:val="nil"/>
                <w:bottom w:val="nil"/>
                <w:right w:val="nil"/>
                <w:between w:val="nil"/>
              </w:pBdr>
              <w:spacing w:after="240"/>
              <w:ind w:left="1440"/>
            </w:pPr>
            <w:r>
              <w:rPr>
                <w:rFonts w:ascii="Arial" w:eastAsia="Arial" w:hAnsi="Arial" w:cs="Arial"/>
                <w:b w:val="0"/>
                <w:color w:val="000000"/>
              </w:rPr>
              <w:t xml:space="preserve">registration number (if applicable); and </w:t>
            </w:r>
          </w:p>
          <w:p w:rsidR="005F4C24" w:rsidRDefault="004C2B0D">
            <w:pPr>
              <w:numPr>
                <w:ilvl w:val="3"/>
                <w:numId w:val="37"/>
              </w:numPr>
              <w:pBdr>
                <w:top w:val="nil"/>
                <w:left w:val="nil"/>
                <w:bottom w:val="nil"/>
                <w:right w:val="nil"/>
                <w:between w:val="nil"/>
              </w:pBdr>
              <w:spacing w:after="240"/>
              <w:ind w:left="1440"/>
            </w:pPr>
            <w:r>
              <w:rPr>
                <w:rFonts w:ascii="Arial" w:eastAsia="Arial" w:hAnsi="Arial" w:cs="Arial"/>
                <w:b w:val="0"/>
                <w:color w:val="000000"/>
              </w:rPr>
              <w:t>registered address.</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lastRenderedPageBreak/>
              <w:t>Required Changes Register</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the register recording each of the changes that the Supplier proposes to the Supplier Information Management System or the Security Management Plan together:</w:t>
            </w:r>
          </w:p>
          <w:p w:rsidR="005F4C24" w:rsidRDefault="004C2B0D">
            <w:pPr>
              <w:numPr>
                <w:ilvl w:val="2"/>
                <w:numId w:val="26"/>
              </w:numPr>
              <w:pBdr>
                <w:top w:val="nil"/>
                <w:left w:val="nil"/>
                <w:bottom w:val="nil"/>
                <w:right w:val="nil"/>
                <w:between w:val="nil"/>
              </w:pBdr>
              <w:spacing w:after="240"/>
              <w:ind w:left="720"/>
            </w:pPr>
            <w:r>
              <w:rPr>
                <w:rFonts w:ascii="Arial" w:eastAsia="Arial" w:hAnsi="Arial" w:cs="Arial"/>
                <w:b w:val="0"/>
                <w:color w:val="000000"/>
              </w:rPr>
              <w:t>the details of any approval of the change provided by the Authority, including any conditions or limitations on that approval; and</w:t>
            </w:r>
          </w:p>
          <w:p w:rsidR="005F4C24" w:rsidRDefault="004C2B0D">
            <w:pPr>
              <w:numPr>
                <w:ilvl w:val="2"/>
                <w:numId w:val="37"/>
              </w:numPr>
              <w:pBdr>
                <w:top w:val="nil"/>
                <w:left w:val="nil"/>
                <w:bottom w:val="nil"/>
                <w:right w:val="nil"/>
                <w:between w:val="nil"/>
              </w:pBdr>
              <w:spacing w:after="240"/>
              <w:ind w:left="720"/>
            </w:pPr>
            <w:r>
              <w:rPr>
                <w:rFonts w:ascii="Arial" w:eastAsia="Arial" w:hAnsi="Arial" w:cs="Arial"/>
                <w:b w:val="0"/>
                <w:color w:val="000000"/>
              </w:rPr>
              <w:t>the date:</w:t>
            </w:r>
          </w:p>
          <w:p w:rsidR="005F4C24" w:rsidRDefault="004C2B0D">
            <w:pPr>
              <w:numPr>
                <w:ilvl w:val="3"/>
                <w:numId w:val="37"/>
              </w:numPr>
              <w:pBdr>
                <w:top w:val="nil"/>
                <w:left w:val="nil"/>
                <w:bottom w:val="nil"/>
                <w:right w:val="nil"/>
                <w:between w:val="nil"/>
              </w:pBdr>
              <w:spacing w:after="240"/>
              <w:ind w:left="1440"/>
            </w:pPr>
            <w:r>
              <w:rPr>
                <w:rFonts w:ascii="Arial" w:eastAsia="Arial" w:hAnsi="Arial" w:cs="Arial"/>
                <w:b w:val="0"/>
                <w:color w:val="000000"/>
              </w:rPr>
              <w:t>the date by which the change it to be implemented; and</w:t>
            </w:r>
          </w:p>
          <w:p w:rsidR="005F4C24" w:rsidRDefault="004C2B0D">
            <w:pPr>
              <w:numPr>
                <w:ilvl w:val="3"/>
                <w:numId w:val="37"/>
              </w:numPr>
              <w:pBdr>
                <w:top w:val="nil"/>
                <w:left w:val="nil"/>
                <w:bottom w:val="nil"/>
                <w:right w:val="nil"/>
                <w:between w:val="nil"/>
              </w:pBdr>
              <w:spacing w:after="240"/>
              <w:ind w:left="1440"/>
            </w:pPr>
            <w:r>
              <w:rPr>
                <w:rFonts w:ascii="Arial" w:eastAsia="Arial" w:hAnsi="Arial" w:cs="Arial"/>
                <w:b w:val="0"/>
                <w:color w:val="000000"/>
              </w:rPr>
              <w:t>the date on which the change was implemented.</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Residual Risk Statement</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a notice issued by the Authority that</w:t>
            </w:r>
          </w:p>
          <w:p w:rsidR="005F4C24" w:rsidRDefault="004C2B0D">
            <w:pPr>
              <w:numPr>
                <w:ilvl w:val="2"/>
                <w:numId w:val="21"/>
              </w:numPr>
              <w:pBdr>
                <w:top w:val="nil"/>
                <w:left w:val="nil"/>
                <w:bottom w:val="nil"/>
                <w:right w:val="nil"/>
                <w:between w:val="nil"/>
              </w:pBdr>
              <w:spacing w:after="240"/>
              <w:ind w:left="720"/>
            </w:pPr>
            <w:r>
              <w:rPr>
                <w:rFonts w:ascii="Arial" w:eastAsia="Arial" w:hAnsi="Arial" w:cs="Arial"/>
                <w:b w:val="0"/>
                <w:color w:val="000000"/>
              </w:rPr>
              <w:t>sets out the information risks associated with using the Supplier Information Management System; and</w:t>
            </w:r>
          </w:p>
          <w:p w:rsidR="005F4C24" w:rsidRDefault="004C2B0D">
            <w:pPr>
              <w:numPr>
                <w:ilvl w:val="2"/>
                <w:numId w:val="37"/>
              </w:numPr>
              <w:pBdr>
                <w:top w:val="nil"/>
                <w:left w:val="nil"/>
                <w:bottom w:val="nil"/>
                <w:right w:val="nil"/>
                <w:between w:val="nil"/>
              </w:pBdr>
              <w:spacing w:after="240"/>
              <w:ind w:left="720"/>
            </w:pPr>
            <w:r>
              <w:rPr>
                <w:rFonts w:ascii="Arial" w:eastAsia="Arial" w:hAnsi="Arial" w:cs="Arial"/>
                <w:b w:val="0"/>
                <w:color w:val="000000"/>
              </w:rPr>
              <w:t>confirms that the Authority:</w:t>
            </w:r>
          </w:p>
          <w:p w:rsidR="005F4C24" w:rsidRDefault="004C2B0D">
            <w:pPr>
              <w:numPr>
                <w:ilvl w:val="3"/>
                <w:numId w:val="37"/>
              </w:numPr>
              <w:pBdr>
                <w:top w:val="nil"/>
                <w:left w:val="nil"/>
                <w:bottom w:val="nil"/>
                <w:right w:val="nil"/>
                <w:between w:val="nil"/>
              </w:pBdr>
              <w:spacing w:after="240"/>
              <w:ind w:left="1440"/>
            </w:pPr>
            <w:r>
              <w:rPr>
                <w:rFonts w:ascii="Arial" w:eastAsia="Arial" w:hAnsi="Arial" w:cs="Arial"/>
                <w:b w:val="0"/>
                <w:color w:val="000000"/>
              </w:rPr>
              <w:t>is satisfied that the identified risks have been adequately and appropriately addressed; and</w:t>
            </w:r>
          </w:p>
          <w:p w:rsidR="005F4C24" w:rsidRDefault="004C2B0D">
            <w:pPr>
              <w:numPr>
                <w:ilvl w:val="3"/>
                <w:numId w:val="37"/>
              </w:numPr>
              <w:pBdr>
                <w:top w:val="nil"/>
                <w:left w:val="nil"/>
                <w:bottom w:val="nil"/>
                <w:right w:val="nil"/>
                <w:between w:val="nil"/>
              </w:pBdr>
              <w:spacing w:after="240"/>
              <w:ind w:left="1440"/>
            </w:pPr>
            <w:r>
              <w:rPr>
                <w:rFonts w:ascii="Arial" w:eastAsia="Arial" w:hAnsi="Arial" w:cs="Arial"/>
                <w:b w:val="0"/>
                <w:color w:val="000000"/>
              </w:rPr>
              <w:t>that the residual risks are understood and accepted by the Authority.</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Relevant Activities</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those activities specified in paragraph 1.1 of the Security Requirements.</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Relevant Certifications</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w:t>
            </w:r>
          </w:p>
          <w:p w:rsidR="005F4C24" w:rsidRDefault="004C2B0D">
            <w:pPr>
              <w:numPr>
                <w:ilvl w:val="2"/>
                <w:numId w:val="2"/>
              </w:numPr>
              <w:pBdr>
                <w:top w:val="nil"/>
                <w:left w:val="nil"/>
                <w:bottom w:val="nil"/>
                <w:right w:val="nil"/>
                <w:between w:val="nil"/>
              </w:pBdr>
              <w:spacing w:after="240"/>
              <w:ind w:left="720"/>
            </w:pPr>
            <w:r>
              <w:rPr>
                <w:rFonts w:ascii="Arial" w:eastAsia="Arial" w:hAnsi="Arial" w:cs="Arial"/>
                <w:b w:val="0"/>
                <w:color w:val="000000"/>
              </w:rPr>
              <w:t>in the case of the Supplier, any SIMS Sub-contractor and any Sub-contractor that Processes Authority Data:</w:t>
            </w:r>
          </w:p>
          <w:p w:rsidR="005F4C24" w:rsidRDefault="004C2B0D">
            <w:pPr>
              <w:numPr>
                <w:ilvl w:val="3"/>
                <w:numId w:val="2"/>
              </w:numPr>
              <w:pBdr>
                <w:top w:val="nil"/>
                <w:left w:val="nil"/>
                <w:bottom w:val="nil"/>
                <w:right w:val="nil"/>
                <w:between w:val="nil"/>
              </w:pBdr>
              <w:spacing w:after="240"/>
              <w:ind w:left="1440"/>
            </w:pPr>
            <w:r>
              <w:rPr>
                <w:rFonts w:ascii="Arial" w:eastAsia="Arial" w:hAnsi="Arial" w:cs="Arial"/>
                <w:b w:val="0"/>
                <w:color w:val="000000"/>
              </w:rPr>
              <w:t>an ISO Certification by a UKAS-approved certification body in respect of the Supplier Information Management System, or the Supplier Information Management System is included within the scope of a wider certification of compliance with an ISO Certification; and</w:t>
            </w:r>
          </w:p>
          <w:p w:rsidR="005F4C24" w:rsidRDefault="004C2B0D">
            <w:pPr>
              <w:numPr>
                <w:ilvl w:val="3"/>
                <w:numId w:val="2"/>
              </w:numPr>
              <w:pBdr>
                <w:top w:val="nil"/>
                <w:left w:val="nil"/>
                <w:bottom w:val="nil"/>
                <w:right w:val="nil"/>
                <w:between w:val="nil"/>
              </w:pBdr>
              <w:spacing w:after="240"/>
              <w:ind w:left="1440"/>
            </w:pPr>
            <w:r>
              <w:rPr>
                <w:rFonts w:ascii="Arial" w:eastAsia="Arial" w:hAnsi="Arial" w:cs="Arial"/>
                <w:b w:val="0"/>
                <w:color w:val="000000"/>
              </w:rPr>
              <w:t>Cyber Essentials Plus; and</w:t>
            </w:r>
          </w:p>
          <w:p w:rsidR="005F4C24" w:rsidRDefault="004C2B0D">
            <w:pPr>
              <w:numPr>
                <w:ilvl w:val="2"/>
                <w:numId w:val="37"/>
              </w:numPr>
              <w:pBdr>
                <w:top w:val="nil"/>
                <w:left w:val="nil"/>
                <w:bottom w:val="nil"/>
                <w:right w:val="nil"/>
                <w:between w:val="nil"/>
              </w:pBdr>
              <w:spacing w:after="240"/>
              <w:ind w:left="720"/>
            </w:pPr>
            <w:r>
              <w:rPr>
                <w:rFonts w:ascii="Arial" w:eastAsia="Arial" w:hAnsi="Arial" w:cs="Arial"/>
                <w:b w:val="0"/>
                <w:color w:val="000000"/>
              </w:rPr>
              <w:t>for all other Sub-contractors means Cyber Essentials Plus.</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Relevant Convictions</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Authority may specify.</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lastRenderedPageBreak/>
              <w:t>Remediation Action Plan</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 xml:space="preserve">means the plan prepared by the Supplier in accordance with paragraph 10.20 to 10.24, addressing the vulnerabilities and findings in </w:t>
            </w:r>
            <w:proofErr w:type="gramStart"/>
            <w:r>
              <w:rPr>
                <w:rFonts w:ascii="Arial" w:eastAsia="Arial" w:hAnsi="Arial" w:cs="Arial"/>
                <w:b w:val="0"/>
                <w:color w:val="000000"/>
              </w:rPr>
              <w:t>a</w:t>
            </w:r>
            <w:proofErr w:type="gramEnd"/>
            <w:r>
              <w:rPr>
                <w:rFonts w:ascii="Arial" w:eastAsia="Arial" w:hAnsi="Arial" w:cs="Arial"/>
                <w:b w:val="0"/>
                <w:color w:val="000000"/>
              </w:rPr>
              <w:t xml:space="preserve"> IT Health Check report</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Risk Management Approval Statement</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the statement issued by the Authority under paragraph 15.2 following the Authority-led Assurance of the Supplier Information Management System.</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Secure Development Guidance</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the Supplier’s secure coding policy required under its ISO27001 Relevant Certification.</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Security Management Plan</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the document prepared in accordance with the requirements of paragraph 13 and in the format, and containing the information, specified in Appendix 5.</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Security Requirements</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 the security requirements in Appendix 1 to this Schedule (</w:t>
            </w:r>
            <w:r>
              <w:rPr>
                <w:rFonts w:ascii="Arial" w:eastAsia="Arial" w:hAnsi="Arial" w:cs="Arial"/>
                <w:b w:val="0"/>
                <w:i/>
                <w:color w:val="000000"/>
              </w:rPr>
              <w:t>Security Management</w:t>
            </w:r>
            <w:r>
              <w:rPr>
                <w:rFonts w:ascii="Arial" w:eastAsia="Arial" w:hAnsi="Arial" w:cs="Arial"/>
                <w:b w:val="0"/>
                <w:color w:val="000000"/>
              </w:rPr>
              <w:t>)</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Security Requirements for Development</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the security requirements in Appendix 1 to this Schedule (</w:t>
            </w:r>
            <w:r>
              <w:rPr>
                <w:rFonts w:ascii="Arial" w:eastAsia="Arial" w:hAnsi="Arial" w:cs="Arial"/>
                <w:b w:val="0"/>
                <w:i/>
                <w:color w:val="000000"/>
              </w:rPr>
              <w:t>Security Management</w:t>
            </w:r>
            <w:r>
              <w:rPr>
                <w:rFonts w:ascii="Arial" w:eastAsia="Arial" w:hAnsi="Arial" w:cs="Arial"/>
                <w:b w:val="0"/>
                <w:color w:val="000000"/>
              </w:rPr>
              <w:t>)</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Security Test</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w:t>
            </w:r>
          </w:p>
          <w:p w:rsidR="005F4C24" w:rsidRDefault="004C2B0D">
            <w:pPr>
              <w:numPr>
                <w:ilvl w:val="2"/>
                <w:numId w:val="6"/>
              </w:numPr>
              <w:pBdr>
                <w:top w:val="nil"/>
                <w:left w:val="nil"/>
                <w:bottom w:val="nil"/>
                <w:right w:val="nil"/>
                <w:between w:val="nil"/>
              </w:pBdr>
              <w:spacing w:after="240"/>
              <w:ind w:left="720"/>
            </w:pPr>
            <w:r>
              <w:rPr>
                <w:rFonts w:ascii="Arial" w:eastAsia="Arial" w:hAnsi="Arial" w:cs="Arial"/>
                <w:b w:val="0"/>
                <w:color w:val="000000"/>
              </w:rPr>
              <w:t>an Authority Security Test;</w:t>
            </w:r>
          </w:p>
          <w:p w:rsidR="005F4C24" w:rsidRDefault="004C2B0D">
            <w:pPr>
              <w:numPr>
                <w:ilvl w:val="2"/>
                <w:numId w:val="37"/>
              </w:numPr>
              <w:pBdr>
                <w:top w:val="nil"/>
                <w:left w:val="nil"/>
                <w:bottom w:val="nil"/>
                <w:right w:val="nil"/>
                <w:between w:val="nil"/>
              </w:pBdr>
              <w:spacing w:after="240"/>
              <w:ind w:left="720"/>
            </w:pPr>
            <w:r>
              <w:rPr>
                <w:rFonts w:ascii="Arial" w:eastAsia="Arial" w:hAnsi="Arial" w:cs="Arial"/>
                <w:b w:val="0"/>
                <w:color w:val="000000"/>
              </w:rPr>
              <w:t>an IT Health Check; or</w:t>
            </w:r>
          </w:p>
          <w:p w:rsidR="005F4C24" w:rsidRDefault="004C2B0D">
            <w:pPr>
              <w:numPr>
                <w:ilvl w:val="2"/>
                <w:numId w:val="37"/>
              </w:numPr>
              <w:pBdr>
                <w:top w:val="nil"/>
                <w:left w:val="nil"/>
                <w:bottom w:val="nil"/>
                <w:right w:val="nil"/>
                <w:between w:val="nil"/>
              </w:pBdr>
              <w:spacing w:after="240"/>
              <w:ind w:left="720"/>
            </w:pPr>
            <w:r>
              <w:rPr>
                <w:rFonts w:ascii="Arial" w:eastAsia="Arial" w:hAnsi="Arial" w:cs="Arial"/>
                <w:b w:val="0"/>
                <w:color w:val="000000"/>
              </w:rPr>
              <w:t>a Supplier Security Test.</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Security Working Group</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the Board established under paragraph 8 or Schedule 21 (</w:t>
            </w:r>
            <w:r>
              <w:rPr>
                <w:rFonts w:ascii="Arial" w:eastAsia="Arial" w:hAnsi="Arial" w:cs="Arial"/>
                <w:b w:val="0"/>
                <w:i/>
                <w:color w:val="000000"/>
              </w:rPr>
              <w:t>Governance</w:t>
            </w:r>
            <w:r>
              <w:rPr>
                <w:rFonts w:ascii="Arial" w:eastAsia="Arial" w:hAnsi="Arial" w:cs="Arial"/>
                <w:b w:val="0"/>
                <w:color w:val="000000"/>
              </w:rPr>
              <w:t>), as applicable.</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color w:val="000000"/>
              </w:rPr>
              <w:t>SIMS Sub-contractor</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a Sub-contractor designated by the Authority that provides or operates the whole, or a substantial part, of the Supplier Information Management System.</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Sites</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 xml:space="preserve">means any premises (including the Authority Premises, the Supplier’s premises or third-party premises): </w:t>
            </w:r>
          </w:p>
          <w:p w:rsidR="005F4C24" w:rsidRDefault="004C2B0D">
            <w:pPr>
              <w:numPr>
                <w:ilvl w:val="2"/>
                <w:numId w:val="12"/>
              </w:numPr>
              <w:pBdr>
                <w:top w:val="nil"/>
                <w:left w:val="nil"/>
                <w:bottom w:val="nil"/>
                <w:right w:val="nil"/>
                <w:between w:val="nil"/>
              </w:pBdr>
              <w:spacing w:after="240"/>
              <w:ind w:left="720"/>
            </w:pPr>
            <w:r>
              <w:rPr>
                <w:rFonts w:ascii="Arial" w:eastAsia="Arial" w:hAnsi="Arial" w:cs="Arial"/>
                <w:b w:val="0"/>
                <w:color w:val="000000"/>
              </w:rPr>
              <w:t>from, to or at which:</w:t>
            </w:r>
          </w:p>
          <w:p w:rsidR="005F4C24" w:rsidRDefault="004C2B0D">
            <w:pPr>
              <w:numPr>
                <w:ilvl w:val="3"/>
                <w:numId w:val="12"/>
              </w:numPr>
              <w:pBdr>
                <w:top w:val="nil"/>
                <w:left w:val="nil"/>
                <w:bottom w:val="nil"/>
                <w:right w:val="nil"/>
                <w:between w:val="nil"/>
              </w:pBdr>
              <w:spacing w:after="240"/>
              <w:ind w:left="1440"/>
            </w:pPr>
            <w:r>
              <w:rPr>
                <w:rFonts w:ascii="Arial" w:eastAsia="Arial" w:hAnsi="Arial" w:cs="Arial"/>
                <w:b w:val="0"/>
                <w:color w:val="000000"/>
              </w:rPr>
              <w:t xml:space="preserve">the Services are (or are to be) provided; or </w:t>
            </w:r>
          </w:p>
          <w:p w:rsidR="005F4C24" w:rsidRDefault="004C2B0D">
            <w:pPr>
              <w:numPr>
                <w:ilvl w:val="3"/>
                <w:numId w:val="12"/>
              </w:numPr>
              <w:pBdr>
                <w:top w:val="nil"/>
                <w:left w:val="nil"/>
                <w:bottom w:val="nil"/>
                <w:right w:val="nil"/>
                <w:between w:val="nil"/>
              </w:pBdr>
              <w:spacing w:after="240"/>
              <w:ind w:left="1440"/>
            </w:pPr>
            <w:r>
              <w:rPr>
                <w:rFonts w:ascii="Arial" w:eastAsia="Arial" w:hAnsi="Arial" w:cs="Arial"/>
                <w:b w:val="0"/>
                <w:color w:val="000000"/>
              </w:rPr>
              <w:t>the Supplier or any Sub-contractor manages, organises or otherwise directs the provision or the use of the Services; or</w:t>
            </w:r>
          </w:p>
          <w:p w:rsidR="005F4C24" w:rsidRDefault="004C2B0D">
            <w:pPr>
              <w:numPr>
                <w:ilvl w:val="2"/>
                <w:numId w:val="37"/>
              </w:numPr>
              <w:pBdr>
                <w:top w:val="nil"/>
                <w:left w:val="nil"/>
                <w:bottom w:val="nil"/>
                <w:right w:val="nil"/>
                <w:between w:val="nil"/>
              </w:pBdr>
              <w:spacing w:after="240"/>
              <w:ind w:left="720"/>
            </w:pPr>
            <w:r>
              <w:rPr>
                <w:rFonts w:ascii="Arial" w:eastAsia="Arial" w:hAnsi="Arial" w:cs="Arial"/>
                <w:b w:val="0"/>
                <w:color w:val="000000"/>
              </w:rPr>
              <w:t>where:</w:t>
            </w:r>
          </w:p>
          <w:p w:rsidR="005F4C24" w:rsidRDefault="004C2B0D">
            <w:pPr>
              <w:numPr>
                <w:ilvl w:val="3"/>
                <w:numId w:val="37"/>
              </w:numPr>
              <w:pBdr>
                <w:top w:val="nil"/>
                <w:left w:val="nil"/>
                <w:bottom w:val="nil"/>
                <w:right w:val="nil"/>
                <w:between w:val="nil"/>
              </w:pBdr>
              <w:spacing w:after="240"/>
              <w:ind w:left="1440"/>
            </w:pPr>
            <w:r>
              <w:rPr>
                <w:rFonts w:ascii="Arial" w:eastAsia="Arial" w:hAnsi="Arial" w:cs="Arial"/>
                <w:b w:val="0"/>
                <w:color w:val="000000"/>
              </w:rPr>
              <w:t xml:space="preserve">any part of the Supplier System is situated; or </w:t>
            </w:r>
          </w:p>
          <w:p w:rsidR="005F4C24" w:rsidRDefault="004C2B0D">
            <w:pPr>
              <w:numPr>
                <w:ilvl w:val="3"/>
                <w:numId w:val="37"/>
              </w:numPr>
              <w:pBdr>
                <w:top w:val="nil"/>
                <w:left w:val="nil"/>
                <w:bottom w:val="nil"/>
                <w:right w:val="nil"/>
                <w:between w:val="nil"/>
              </w:pBdr>
              <w:spacing w:after="240"/>
              <w:ind w:left="1440"/>
            </w:pPr>
            <w:r>
              <w:rPr>
                <w:rFonts w:ascii="Arial" w:eastAsia="Arial" w:hAnsi="Arial" w:cs="Arial"/>
                <w:b w:val="0"/>
                <w:color w:val="000000"/>
              </w:rPr>
              <w:t>any physical interface with the Authority System takes place.</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lastRenderedPageBreak/>
              <w:t>SMP Sub-contractor</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a Sub-contractor with significant market power, such that:</w:t>
            </w:r>
          </w:p>
          <w:p w:rsidR="005F4C24" w:rsidRDefault="004C2B0D">
            <w:pPr>
              <w:numPr>
                <w:ilvl w:val="2"/>
                <w:numId w:val="7"/>
              </w:numPr>
              <w:pBdr>
                <w:top w:val="nil"/>
                <w:left w:val="nil"/>
                <w:bottom w:val="nil"/>
                <w:right w:val="nil"/>
                <w:between w:val="nil"/>
              </w:pBdr>
              <w:spacing w:after="240"/>
              <w:ind w:left="720"/>
            </w:pPr>
            <w:r>
              <w:rPr>
                <w:rFonts w:ascii="Arial" w:eastAsia="Arial" w:hAnsi="Arial" w:cs="Arial"/>
                <w:b w:val="0"/>
                <w:color w:val="000000"/>
              </w:rPr>
              <w:t>they will not contract other than on their own contractual terms; and</w:t>
            </w:r>
          </w:p>
          <w:p w:rsidR="005F4C24" w:rsidRDefault="004C2B0D">
            <w:pPr>
              <w:numPr>
                <w:ilvl w:val="2"/>
                <w:numId w:val="37"/>
              </w:numPr>
              <w:pBdr>
                <w:top w:val="nil"/>
                <w:left w:val="nil"/>
                <w:bottom w:val="nil"/>
                <w:right w:val="nil"/>
                <w:between w:val="nil"/>
              </w:pBdr>
              <w:spacing w:after="240"/>
              <w:ind w:left="720"/>
            </w:pPr>
            <w:r>
              <w:rPr>
                <w:rFonts w:ascii="Arial" w:eastAsia="Arial" w:hAnsi="Arial" w:cs="Arial"/>
                <w:b w:val="0"/>
                <w:color w:val="000000"/>
              </w:rPr>
              <w:t>either:</w:t>
            </w:r>
          </w:p>
          <w:p w:rsidR="005F4C24" w:rsidRDefault="004C2B0D">
            <w:pPr>
              <w:numPr>
                <w:ilvl w:val="3"/>
                <w:numId w:val="37"/>
              </w:numPr>
              <w:pBdr>
                <w:top w:val="nil"/>
                <w:left w:val="nil"/>
                <w:bottom w:val="nil"/>
                <w:right w:val="nil"/>
                <w:between w:val="nil"/>
              </w:pBdr>
              <w:spacing w:after="240"/>
              <w:ind w:left="1440"/>
            </w:pPr>
            <w:r>
              <w:rPr>
                <w:rFonts w:ascii="Arial" w:eastAsia="Arial" w:hAnsi="Arial" w:cs="Arial"/>
                <w:b w:val="0"/>
                <w:color w:val="000000"/>
              </w:rPr>
              <w:t>there are no other substitutable suppliers of the particular services other than SMP Sub-contractors; or</w:t>
            </w:r>
          </w:p>
          <w:p w:rsidR="005F4C24" w:rsidRDefault="004C2B0D">
            <w:pPr>
              <w:numPr>
                <w:ilvl w:val="3"/>
                <w:numId w:val="37"/>
              </w:numPr>
              <w:pBdr>
                <w:top w:val="nil"/>
                <w:left w:val="nil"/>
                <w:bottom w:val="nil"/>
                <w:right w:val="nil"/>
                <w:between w:val="nil"/>
              </w:pBdr>
              <w:spacing w:after="240"/>
              <w:ind w:left="1440"/>
            </w:pPr>
            <w:r>
              <w:rPr>
                <w:rFonts w:ascii="Arial" w:eastAsia="Arial" w:hAnsi="Arial" w:cs="Arial"/>
                <w:b w:val="0"/>
                <w:color w:val="000000"/>
              </w:rPr>
              <w:t>the Sub-contractor concerned has an effective monopoly on the provision of the Services.</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Statement of Information Risk Appetite</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the statement provided by the Authority under paragraph 13.1 setting out the nature and level of risk that the Supplier accepts from the operation of the Supplier Information Management System.</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Sub-contractor</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includes, for the purposes of this Schedule (</w:t>
            </w:r>
            <w:r>
              <w:rPr>
                <w:rFonts w:ascii="Arial" w:eastAsia="Arial" w:hAnsi="Arial" w:cs="Arial"/>
                <w:b w:val="0"/>
                <w:i/>
                <w:color w:val="000000"/>
              </w:rPr>
              <w:t>Security Management</w:t>
            </w:r>
            <w:r>
              <w:rPr>
                <w:rFonts w:ascii="Arial" w:eastAsia="Arial" w:hAnsi="Arial" w:cs="Arial"/>
                <w:b w:val="0"/>
                <w:color w:val="000000"/>
              </w:rPr>
              <w:t>), any individual or entity that:</w:t>
            </w:r>
          </w:p>
          <w:p w:rsidR="005F4C24" w:rsidRDefault="004C2B0D">
            <w:pPr>
              <w:numPr>
                <w:ilvl w:val="2"/>
                <w:numId w:val="10"/>
              </w:numPr>
              <w:pBdr>
                <w:top w:val="nil"/>
                <w:left w:val="nil"/>
                <w:bottom w:val="nil"/>
                <w:right w:val="nil"/>
                <w:between w:val="nil"/>
              </w:pBdr>
              <w:spacing w:after="240"/>
              <w:ind w:left="720"/>
            </w:pPr>
            <w:r>
              <w:rPr>
                <w:rFonts w:ascii="Arial" w:eastAsia="Arial" w:hAnsi="Arial" w:cs="Arial"/>
                <w:b w:val="0"/>
                <w:color w:val="000000"/>
              </w:rPr>
              <w:t>forms part of the supply chain of the Supplier; and</w:t>
            </w:r>
          </w:p>
          <w:p w:rsidR="005F4C24" w:rsidRDefault="004C2B0D">
            <w:pPr>
              <w:numPr>
                <w:ilvl w:val="2"/>
                <w:numId w:val="37"/>
              </w:numPr>
              <w:pBdr>
                <w:top w:val="nil"/>
                <w:left w:val="nil"/>
                <w:bottom w:val="nil"/>
                <w:right w:val="nil"/>
                <w:between w:val="nil"/>
              </w:pBdr>
              <w:spacing w:after="240"/>
              <w:ind w:left="720"/>
            </w:pPr>
            <w:r>
              <w:rPr>
                <w:rFonts w:ascii="Arial" w:eastAsia="Arial" w:hAnsi="Arial" w:cs="Arial"/>
                <w:b w:val="0"/>
                <w:color w:val="000000"/>
              </w:rPr>
              <w:t>has access to, hosts, or performs any operation on or in respect of the Supplier Information Management System, the Development Environment, the Code and the Authority Data.</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Sub-contractor Personnel</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w:t>
            </w:r>
          </w:p>
          <w:p w:rsidR="005F4C24" w:rsidRDefault="004C2B0D">
            <w:pPr>
              <w:numPr>
                <w:ilvl w:val="2"/>
                <w:numId w:val="13"/>
              </w:numPr>
              <w:pBdr>
                <w:top w:val="nil"/>
                <w:left w:val="nil"/>
                <w:bottom w:val="nil"/>
                <w:right w:val="nil"/>
                <w:between w:val="nil"/>
              </w:pBdr>
              <w:spacing w:after="240"/>
              <w:ind w:left="720"/>
            </w:pPr>
            <w:r>
              <w:rPr>
                <w:rFonts w:ascii="Arial" w:eastAsia="Arial" w:hAnsi="Arial" w:cs="Arial"/>
                <w:b w:val="0"/>
                <w:color w:val="000000"/>
              </w:rPr>
              <w:t>any individual engaged, directly or indirectly, or employed, by any Sub-contractor; and</w:t>
            </w:r>
          </w:p>
          <w:p w:rsidR="005F4C24" w:rsidRDefault="004C2B0D">
            <w:pPr>
              <w:numPr>
                <w:ilvl w:val="2"/>
                <w:numId w:val="37"/>
              </w:numPr>
              <w:pBdr>
                <w:top w:val="nil"/>
                <w:left w:val="nil"/>
                <w:bottom w:val="nil"/>
                <w:right w:val="nil"/>
                <w:between w:val="nil"/>
              </w:pBdr>
              <w:spacing w:after="240"/>
              <w:ind w:left="720"/>
            </w:pPr>
            <w:r>
              <w:rPr>
                <w:rFonts w:ascii="Arial" w:eastAsia="Arial" w:hAnsi="Arial" w:cs="Arial"/>
                <w:b w:val="0"/>
                <w:color w:val="000000"/>
              </w:rPr>
              <w:t>engaged in or likely to be engaged in:</w:t>
            </w:r>
          </w:p>
          <w:p w:rsidR="005F4C24" w:rsidRDefault="004C2B0D">
            <w:pPr>
              <w:numPr>
                <w:ilvl w:val="3"/>
                <w:numId w:val="37"/>
              </w:numPr>
              <w:pBdr>
                <w:top w:val="nil"/>
                <w:left w:val="nil"/>
                <w:bottom w:val="nil"/>
                <w:right w:val="nil"/>
                <w:between w:val="nil"/>
              </w:pBdr>
              <w:spacing w:after="240"/>
              <w:ind w:left="1440"/>
            </w:pPr>
            <w:r>
              <w:rPr>
                <w:rFonts w:ascii="Arial" w:eastAsia="Arial" w:hAnsi="Arial" w:cs="Arial"/>
                <w:b w:val="0"/>
                <w:color w:val="000000"/>
              </w:rPr>
              <w:t>the performance or management of the Services;</w:t>
            </w:r>
          </w:p>
          <w:p w:rsidR="005F4C24" w:rsidRDefault="004C2B0D">
            <w:pPr>
              <w:numPr>
                <w:ilvl w:val="3"/>
                <w:numId w:val="37"/>
              </w:numPr>
              <w:pBdr>
                <w:top w:val="nil"/>
                <w:left w:val="nil"/>
                <w:bottom w:val="nil"/>
                <w:right w:val="nil"/>
                <w:between w:val="nil"/>
              </w:pBdr>
              <w:spacing w:after="240"/>
              <w:ind w:left="1440"/>
            </w:pPr>
            <w:r>
              <w:rPr>
                <w:rFonts w:ascii="Arial" w:eastAsia="Arial" w:hAnsi="Arial" w:cs="Arial"/>
                <w:b w:val="0"/>
                <w:color w:val="000000"/>
              </w:rPr>
              <w:t>or the provision of facilities or services that are necessary for the provision of the Services.</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Sub-contractors’ Systems</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the information and communications technology system used by a Sub-contractor in implementing and performing the Services, including:</w:t>
            </w:r>
          </w:p>
          <w:p w:rsidR="005F4C24" w:rsidRDefault="004C2B0D">
            <w:pPr>
              <w:numPr>
                <w:ilvl w:val="2"/>
                <w:numId w:val="8"/>
              </w:numPr>
              <w:pBdr>
                <w:top w:val="nil"/>
                <w:left w:val="nil"/>
                <w:bottom w:val="nil"/>
                <w:right w:val="nil"/>
                <w:between w:val="nil"/>
              </w:pBdr>
              <w:spacing w:after="240"/>
              <w:ind w:left="720"/>
            </w:pPr>
            <w:r>
              <w:rPr>
                <w:rFonts w:ascii="Arial" w:eastAsia="Arial" w:hAnsi="Arial" w:cs="Arial"/>
                <w:b w:val="0"/>
                <w:color w:val="000000"/>
              </w:rPr>
              <w:t>the Software;</w:t>
            </w:r>
          </w:p>
          <w:p w:rsidR="005F4C24" w:rsidRDefault="004C2B0D">
            <w:pPr>
              <w:numPr>
                <w:ilvl w:val="2"/>
                <w:numId w:val="37"/>
              </w:numPr>
              <w:pBdr>
                <w:top w:val="nil"/>
                <w:left w:val="nil"/>
                <w:bottom w:val="nil"/>
                <w:right w:val="nil"/>
                <w:between w:val="nil"/>
              </w:pBdr>
              <w:spacing w:after="240"/>
              <w:ind w:left="720"/>
            </w:pPr>
            <w:r>
              <w:rPr>
                <w:rFonts w:ascii="Arial" w:eastAsia="Arial" w:hAnsi="Arial" w:cs="Arial"/>
                <w:b w:val="0"/>
                <w:color w:val="000000"/>
              </w:rPr>
              <w:t>the Supplier Equipment;</w:t>
            </w:r>
          </w:p>
          <w:p w:rsidR="005F4C24" w:rsidRDefault="004C2B0D">
            <w:pPr>
              <w:numPr>
                <w:ilvl w:val="2"/>
                <w:numId w:val="37"/>
              </w:numPr>
              <w:pBdr>
                <w:top w:val="nil"/>
                <w:left w:val="nil"/>
                <w:bottom w:val="nil"/>
                <w:right w:val="nil"/>
                <w:between w:val="nil"/>
              </w:pBdr>
              <w:spacing w:after="240"/>
              <w:ind w:left="720"/>
            </w:pPr>
            <w:r>
              <w:rPr>
                <w:rFonts w:ascii="Arial" w:eastAsia="Arial" w:hAnsi="Arial" w:cs="Arial"/>
                <w:b w:val="0"/>
                <w:color w:val="000000"/>
              </w:rPr>
              <w:t>configuration and management utilities;</w:t>
            </w:r>
          </w:p>
          <w:p w:rsidR="005F4C24" w:rsidRDefault="004C2B0D">
            <w:pPr>
              <w:numPr>
                <w:ilvl w:val="2"/>
                <w:numId w:val="37"/>
              </w:numPr>
              <w:pBdr>
                <w:top w:val="nil"/>
                <w:left w:val="nil"/>
                <w:bottom w:val="nil"/>
                <w:right w:val="nil"/>
                <w:between w:val="nil"/>
              </w:pBdr>
              <w:spacing w:after="240"/>
              <w:ind w:left="720"/>
            </w:pPr>
            <w:r>
              <w:rPr>
                <w:rFonts w:ascii="Arial" w:eastAsia="Arial" w:hAnsi="Arial" w:cs="Arial"/>
                <w:b w:val="0"/>
                <w:color w:val="000000"/>
              </w:rPr>
              <w:t>calibration and testing tools;</w:t>
            </w:r>
          </w:p>
          <w:p w:rsidR="005F4C24" w:rsidRDefault="004C2B0D">
            <w:pPr>
              <w:numPr>
                <w:ilvl w:val="2"/>
                <w:numId w:val="37"/>
              </w:numPr>
              <w:pBdr>
                <w:top w:val="nil"/>
                <w:left w:val="nil"/>
                <w:bottom w:val="nil"/>
                <w:right w:val="nil"/>
                <w:between w:val="nil"/>
              </w:pBdr>
              <w:spacing w:after="240"/>
              <w:ind w:left="720"/>
            </w:pPr>
            <w:r>
              <w:rPr>
                <w:rFonts w:ascii="Arial" w:eastAsia="Arial" w:hAnsi="Arial" w:cs="Arial"/>
                <w:b w:val="0"/>
                <w:color w:val="000000"/>
              </w:rPr>
              <w:t>and related cabling; but</w:t>
            </w:r>
          </w:p>
          <w:p w:rsidR="005F4C24" w:rsidRDefault="004C2B0D">
            <w:pPr>
              <w:pBdr>
                <w:top w:val="nil"/>
                <w:left w:val="nil"/>
                <w:bottom w:val="nil"/>
                <w:right w:val="nil"/>
                <w:between w:val="nil"/>
              </w:pBdr>
              <w:spacing w:after="240"/>
              <w:ind w:left="1440" w:hanging="720"/>
              <w:rPr>
                <w:rFonts w:ascii="Arial" w:eastAsia="Arial" w:hAnsi="Arial" w:cs="Arial"/>
                <w:b w:val="0"/>
                <w:color w:val="000000"/>
              </w:rPr>
            </w:pPr>
            <w:r>
              <w:rPr>
                <w:rFonts w:ascii="Arial" w:eastAsia="Arial" w:hAnsi="Arial" w:cs="Arial"/>
                <w:b w:val="0"/>
                <w:color w:val="000000"/>
              </w:rPr>
              <w:t>does not include the Authority System.</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lastRenderedPageBreak/>
              <w:t>Supplier Information Management System</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w:t>
            </w:r>
          </w:p>
          <w:p w:rsidR="005F4C24" w:rsidRDefault="004C2B0D">
            <w:pPr>
              <w:numPr>
                <w:ilvl w:val="2"/>
                <w:numId w:val="14"/>
              </w:numPr>
              <w:pBdr>
                <w:top w:val="nil"/>
                <w:left w:val="nil"/>
                <w:bottom w:val="nil"/>
                <w:right w:val="nil"/>
                <w:between w:val="nil"/>
              </w:pBdr>
              <w:spacing w:after="240"/>
              <w:ind w:left="720"/>
            </w:pPr>
            <w:r>
              <w:rPr>
                <w:rFonts w:ascii="Arial" w:eastAsia="Arial" w:hAnsi="Arial" w:cs="Arial"/>
                <w:b w:val="0"/>
                <w:color w:val="000000"/>
              </w:rPr>
              <w:t>the Supplier System;</w:t>
            </w:r>
          </w:p>
          <w:p w:rsidR="005F4C24" w:rsidRDefault="004C2B0D">
            <w:pPr>
              <w:numPr>
                <w:ilvl w:val="2"/>
                <w:numId w:val="37"/>
              </w:numPr>
              <w:pBdr>
                <w:top w:val="nil"/>
                <w:left w:val="nil"/>
                <w:bottom w:val="nil"/>
                <w:right w:val="nil"/>
                <w:between w:val="nil"/>
              </w:pBdr>
              <w:spacing w:after="240"/>
              <w:ind w:left="720"/>
            </w:pPr>
            <w:r>
              <w:rPr>
                <w:rFonts w:ascii="Arial" w:eastAsia="Arial" w:hAnsi="Arial" w:cs="Arial"/>
                <w:b w:val="0"/>
                <w:color w:val="000000"/>
              </w:rPr>
              <w:t>the Sites;</w:t>
            </w:r>
          </w:p>
          <w:p w:rsidR="005F4C24" w:rsidRDefault="004C2B0D">
            <w:pPr>
              <w:numPr>
                <w:ilvl w:val="2"/>
                <w:numId w:val="37"/>
              </w:numPr>
              <w:pBdr>
                <w:top w:val="nil"/>
                <w:left w:val="nil"/>
                <w:bottom w:val="nil"/>
                <w:right w:val="nil"/>
                <w:between w:val="nil"/>
              </w:pBdr>
              <w:spacing w:after="240"/>
              <w:ind w:left="720"/>
            </w:pPr>
            <w:r>
              <w:rPr>
                <w:rFonts w:ascii="Arial" w:eastAsia="Arial" w:hAnsi="Arial" w:cs="Arial"/>
                <w:b w:val="0"/>
                <w:color w:val="000000"/>
              </w:rPr>
              <w:t>any part of the Authority System the Supplier or any Sub-contractor will use to Process Authority Data, or provide the Services; and</w:t>
            </w:r>
          </w:p>
          <w:p w:rsidR="005F4C24" w:rsidRDefault="004C2B0D">
            <w:pPr>
              <w:numPr>
                <w:ilvl w:val="2"/>
                <w:numId w:val="37"/>
              </w:numPr>
              <w:pBdr>
                <w:top w:val="nil"/>
                <w:left w:val="nil"/>
                <w:bottom w:val="nil"/>
                <w:right w:val="nil"/>
                <w:between w:val="nil"/>
              </w:pBdr>
              <w:spacing w:after="240"/>
              <w:ind w:left="720"/>
            </w:pPr>
            <w:r>
              <w:rPr>
                <w:rFonts w:ascii="Arial" w:eastAsia="Arial" w:hAnsi="Arial" w:cs="Arial"/>
                <w:b w:val="0"/>
                <w:color w:val="000000"/>
              </w:rPr>
              <w:t>the associated information management system, including all relevant:</w:t>
            </w:r>
          </w:p>
          <w:p w:rsidR="005F4C24" w:rsidRDefault="004C2B0D">
            <w:pPr>
              <w:numPr>
                <w:ilvl w:val="3"/>
                <w:numId w:val="37"/>
              </w:numPr>
              <w:pBdr>
                <w:top w:val="nil"/>
                <w:left w:val="nil"/>
                <w:bottom w:val="nil"/>
                <w:right w:val="nil"/>
                <w:between w:val="nil"/>
              </w:pBdr>
              <w:spacing w:after="240"/>
              <w:ind w:left="1440"/>
            </w:pPr>
            <w:r>
              <w:rPr>
                <w:rFonts w:ascii="Arial" w:eastAsia="Arial" w:hAnsi="Arial" w:cs="Arial"/>
                <w:b w:val="0"/>
                <w:color w:val="000000"/>
              </w:rPr>
              <w:t>organisational structure diagrams,</w:t>
            </w:r>
          </w:p>
          <w:p w:rsidR="005F4C24" w:rsidRDefault="004C2B0D">
            <w:pPr>
              <w:numPr>
                <w:ilvl w:val="3"/>
                <w:numId w:val="37"/>
              </w:numPr>
              <w:pBdr>
                <w:top w:val="nil"/>
                <w:left w:val="nil"/>
                <w:bottom w:val="nil"/>
                <w:right w:val="nil"/>
                <w:between w:val="nil"/>
              </w:pBdr>
              <w:spacing w:after="240"/>
              <w:ind w:left="1440"/>
            </w:pPr>
            <w:r>
              <w:rPr>
                <w:rFonts w:ascii="Arial" w:eastAsia="Arial" w:hAnsi="Arial" w:cs="Arial"/>
                <w:b w:val="0"/>
                <w:color w:val="000000"/>
              </w:rPr>
              <w:t>controls,</w:t>
            </w:r>
          </w:p>
          <w:p w:rsidR="005F4C24" w:rsidRDefault="004C2B0D">
            <w:pPr>
              <w:numPr>
                <w:ilvl w:val="3"/>
                <w:numId w:val="37"/>
              </w:numPr>
              <w:pBdr>
                <w:top w:val="nil"/>
                <w:left w:val="nil"/>
                <w:bottom w:val="nil"/>
                <w:right w:val="nil"/>
                <w:between w:val="nil"/>
              </w:pBdr>
              <w:spacing w:after="240"/>
              <w:ind w:left="1440"/>
            </w:pPr>
            <w:r>
              <w:rPr>
                <w:rFonts w:ascii="Arial" w:eastAsia="Arial" w:hAnsi="Arial" w:cs="Arial"/>
                <w:b w:val="0"/>
                <w:color w:val="000000"/>
              </w:rPr>
              <w:t>policies,</w:t>
            </w:r>
          </w:p>
          <w:p w:rsidR="005F4C24" w:rsidRDefault="004C2B0D">
            <w:pPr>
              <w:numPr>
                <w:ilvl w:val="3"/>
                <w:numId w:val="37"/>
              </w:numPr>
              <w:pBdr>
                <w:top w:val="nil"/>
                <w:left w:val="nil"/>
                <w:bottom w:val="nil"/>
                <w:right w:val="nil"/>
                <w:between w:val="nil"/>
              </w:pBdr>
              <w:spacing w:after="240"/>
              <w:ind w:left="1440"/>
            </w:pPr>
            <w:r>
              <w:rPr>
                <w:rFonts w:ascii="Arial" w:eastAsia="Arial" w:hAnsi="Arial" w:cs="Arial"/>
                <w:b w:val="0"/>
                <w:color w:val="000000"/>
              </w:rPr>
              <w:t>practices,</w:t>
            </w:r>
          </w:p>
          <w:p w:rsidR="005F4C24" w:rsidRDefault="004C2B0D">
            <w:pPr>
              <w:numPr>
                <w:ilvl w:val="3"/>
                <w:numId w:val="37"/>
              </w:numPr>
              <w:pBdr>
                <w:top w:val="nil"/>
                <w:left w:val="nil"/>
                <w:bottom w:val="nil"/>
                <w:right w:val="nil"/>
                <w:between w:val="nil"/>
              </w:pBdr>
              <w:spacing w:after="240"/>
              <w:ind w:left="1440"/>
            </w:pPr>
            <w:r>
              <w:rPr>
                <w:rFonts w:ascii="Arial" w:eastAsia="Arial" w:hAnsi="Arial" w:cs="Arial"/>
                <w:b w:val="0"/>
                <w:color w:val="000000"/>
              </w:rPr>
              <w:t>procedures,</w:t>
            </w:r>
          </w:p>
          <w:p w:rsidR="005F4C24" w:rsidRDefault="004C2B0D">
            <w:pPr>
              <w:numPr>
                <w:ilvl w:val="3"/>
                <w:numId w:val="37"/>
              </w:numPr>
              <w:pBdr>
                <w:top w:val="nil"/>
                <w:left w:val="nil"/>
                <w:bottom w:val="nil"/>
                <w:right w:val="nil"/>
                <w:between w:val="nil"/>
              </w:pBdr>
              <w:spacing w:after="240"/>
              <w:ind w:left="1440"/>
            </w:pPr>
            <w:r>
              <w:rPr>
                <w:rFonts w:ascii="Arial" w:eastAsia="Arial" w:hAnsi="Arial" w:cs="Arial"/>
                <w:b w:val="0"/>
                <w:color w:val="000000"/>
              </w:rPr>
              <w:t xml:space="preserve">processes; and </w:t>
            </w:r>
          </w:p>
          <w:p w:rsidR="005F4C24" w:rsidRDefault="004C2B0D">
            <w:pPr>
              <w:numPr>
                <w:ilvl w:val="3"/>
                <w:numId w:val="37"/>
              </w:numPr>
              <w:pBdr>
                <w:top w:val="nil"/>
                <w:left w:val="nil"/>
                <w:bottom w:val="nil"/>
                <w:right w:val="nil"/>
                <w:between w:val="nil"/>
              </w:pBdr>
              <w:spacing w:after="240"/>
              <w:ind w:left="1440"/>
            </w:pPr>
            <w:r>
              <w:rPr>
                <w:rFonts w:ascii="Arial" w:eastAsia="Arial" w:hAnsi="Arial" w:cs="Arial"/>
                <w:b w:val="0"/>
                <w:color w:val="000000"/>
              </w:rPr>
              <w:t>resources.</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Supplier Personnel</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any individual engaged, directly or indirectly, or employed by the Supplier or any Sub-contractor, in the management or performance of the Supplier’s obligations under this Contract.</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bookmarkStart w:id="17" w:name="_heading=h.3as4poj" w:colFirst="0" w:colLast="0"/>
            <w:bookmarkEnd w:id="17"/>
            <w:r>
              <w:rPr>
                <w:rFonts w:ascii="Arial" w:eastAsia="Arial" w:hAnsi="Arial" w:cs="Arial"/>
                <w:color w:val="000000"/>
              </w:rPr>
              <w:t>Supplier System</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the information and communications technology system used by the Supplier or any Sub-contractor in implementing and performing the Services including any software, hardware, computer and telecoms devices, equipment, configuration and management utilities, calibration and testing tools and related cabling (but excluding the Authority System).</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Support Location</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a place or facility where or from which individuals may access or Process the Code or the Authority Data.</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Support Register</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the register of all hardware and software used to provide the Services produced and maintained in accordance with paragraph 4 of the Security Requirements.</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Third-party Software Module</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any module, library or framework that:</w:t>
            </w:r>
          </w:p>
          <w:p w:rsidR="005F4C24" w:rsidRDefault="004C2B0D">
            <w:pPr>
              <w:numPr>
                <w:ilvl w:val="2"/>
                <w:numId w:val="18"/>
              </w:numPr>
              <w:pBdr>
                <w:top w:val="nil"/>
                <w:left w:val="nil"/>
                <w:bottom w:val="nil"/>
                <w:right w:val="nil"/>
                <w:between w:val="nil"/>
              </w:pBdr>
              <w:spacing w:after="240"/>
              <w:ind w:left="720"/>
            </w:pPr>
            <w:r>
              <w:rPr>
                <w:rFonts w:ascii="Arial" w:eastAsia="Arial" w:hAnsi="Arial" w:cs="Arial"/>
                <w:b w:val="0"/>
                <w:color w:val="000000"/>
              </w:rPr>
              <w:t>is not produced by the Supplier or a Sub-contractor as part of the Development Activity; and</w:t>
            </w:r>
          </w:p>
          <w:p w:rsidR="005F4C24" w:rsidRDefault="004C2B0D">
            <w:pPr>
              <w:numPr>
                <w:ilvl w:val="2"/>
                <w:numId w:val="37"/>
              </w:numPr>
              <w:pBdr>
                <w:top w:val="nil"/>
                <w:left w:val="nil"/>
                <w:bottom w:val="nil"/>
                <w:right w:val="nil"/>
                <w:between w:val="nil"/>
              </w:pBdr>
              <w:spacing w:after="240"/>
              <w:ind w:left="720"/>
            </w:pPr>
            <w:r>
              <w:rPr>
                <w:rFonts w:ascii="Arial" w:eastAsia="Arial" w:hAnsi="Arial" w:cs="Arial"/>
                <w:b w:val="0"/>
                <w:color w:val="000000"/>
              </w:rPr>
              <w:t>either:</w:t>
            </w:r>
          </w:p>
          <w:p w:rsidR="005F4C24" w:rsidRDefault="004C2B0D">
            <w:pPr>
              <w:numPr>
                <w:ilvl w:val="3"/>
                <w:numId w:val="37"/>
              </w:numPr>
              <w:pBdr>
                <w:top w:val="nil"/>
                <w:left w:val="nil"/>
                <w:bottom w:val="nil"/>
                <w:right w:val="nil"/>
                <w:between w:val="nil"/>
              </w:pBdr>
              <w:spacing w:after="240"/>
              <w:ind w:left="1440"/>
            </w:pPr>
            <w:r>
              <w:rPr>
                <w:rFonts w:ascii="Arial" w:eastAsia="Arial" w:hAnsi="Arial" w:cs="Arial"/>
                <w:b w:val="0"/>
                <w:color w:val="000000"/>
              </w:rPr>
              <w:t>forms, or will form, part of the Code; or</w:t>
            </w:r>
          </w:p>
          <w:p w:rsidR="005F4C24" w:rsidRDefault="004C2B0D">
            <w:pPr>
              <w:numPr>
                <w:ilvl w:val="3"/>
                <w:numId w:val="37"/>
              </w:numPr>
              <w:pBdr>
                <w:top w:val="nil"/>
                <w:left w:val="nil"/>
                <w:bottom w:val="nil"/>
                <w:right w:val="nil"/>
                <w:between w:val="nil"/>
              </w:pBdr>
              <w:spacing w:after="240"/>
              <w:ind w:left="1440"/>
            </w:pPr>
            <w:r>
              <w:rPr>
                <w:rFonts w:ascii="Arial" w:eastAsia="Arial" w:hAnsi="Arial" w:cs="Arial"/>
                <w:b w:val="0"/>
                <w:color w:val="000000"/>
              </w:rPr>
              <w:t>is, or will be, accessed by the Developed System during its operation.</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lastRenderedPageBreak/>
              <w:t>Third-party Tool</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any activity conducted other than by the Supplier during which the Code or the Authority Data is accessed, analysed or modified or some form of operation is performed on it.</w:t>
            </w:r>
          </w:p>
        </w:tc>
      </w:tr>
      <w:tr w:rsidR="005F4C24">
        <w:tc>
          <w:tcPr>
            <w:tcW w:w="2073" w:type="dxa"/>
          </w:tcPr>
          <w:p w:rsidR="005F4C24" w:rsidRDefault="004C2B0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UKAS</w:t>
            </w:r>
          </w:p>
        </w:tc>
        <w:tc>
          <w:tcPr>
            <w:tcW w:w="6226"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 the United Kingdom Accreditation Service.</w:t>
            </w:r>
          </w:p>
        </w:tc>
      </w:tr>
      <w:tr w:rsidR="005F4C24">
        <w:tc>
          <w:tcPr>
            <w:tcW w:w="2073" w:type="dxa"/>
          </w:tcPr>
          <w:p w:rsidR="005F4C24" w:rsidRDefault="004C2B0D">
            <w:pPr>
              <w:keepNext/>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Wider Information Management System</w:t>
            </w:r>
          </w:p>
        </w:tc>
        <w:tc>
          <w:tcPr>
            <w:tcW w:w="6226" w:type="dxa"/>
          </w:tcPr>
          <w:p w:rsidR="005F4C24" w:rsidRDefault="004C2B0D">
            <w:pPr>
              <w:keepNext/>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means</w:t>
            </w:r>
          </w:p>
          <w:p w:rsidR="005F4C24" w:rsidRDefault="004C2B0D">
            <w:pPr>
              <w:keepNext/>
              <w:numPr>
                <w:ilvl w:val="2"/>
                <w:numId w:val="27"/>
              </w:numPr>
              <w:pBdr>
                <w:top w:val="nil"/>
                <w:left w:val="nil"/>
                <w:bottom w:val="nil"/>
                <w:right w:val="nil"/>
                <w:between w:val="nil"/>
              </w:pBdr>
              <w:spacing w:after="240"/>
              <w:ind w:left="720"/>
            </w:pPr>
            <w:r>
              <w:rPr>
                <w:rFonts w:ascii="Arial" w:eastAsia="Arial" w:hAnsi="Arial" w:cs="Arial"/>
                <w:b w:val="0"/>
                <w:color w:val="000000"/>
              </w:rPr>
              <w:t>any:</w:t>
            </w:r>
          </w:p>
          <w:p w:rsidR="005F4C24" w:rsidRDefault="004C2B0D">
            <w:pPr>
              <w:numPr>
                <w:ilvl w:val="3"/>
                <w:numId w:val="27"/>
              </w:numPr>
              <w:pBdr>
                <w:top w:val="nil"/>
                <w:left w:val="nil"/>
                <w:bottom w:val="nil"/>
                <w:right w:val="nil"/>
                <w:between w:val="nil"/>
              </w:pBdr>
              <w:spacing w:after="240"/>
              <w:ind w:left="1440"/>
            </w:pPr>
            <w:r>
              <w:rPr>
                <w:rFonts w:ascii="Arial" w:eastAsia="Arial" w:hAnsi="Arial" w:cs="Arial"/>
                <w:b w:val="0"/>
                <w:color w:val="000000"/>
              </w:rPr>
              <w:t>information assets,</w:t>
            </w:r>
          </w:p>
          <w:p w:rsidR="005F4C24" w:rsidRDefault="004C2B0D">
            <w:pPr>
              <w:numPr>
                <w:ilvl w:val="3"/>
                <w:numId w:val="27"/>
              </w:numPr>
              <w:pBdr>
                <w:top w:val="nil"/>
                <w:left w:val="nil"/>
                <w:bottom w:val="nil"/>
                <w:right w:val="nil"/>
                <w:between w:val="nil"/>
              </w:pBdr>
              <w:spacing w:after="240"/>
              <w:ind w:left="1440"/>
            </w:pPr>
            <w:r>
              <w:rPr>
                <w:rFonts w:ascii="Arial" w:eastAsia="Arial" w:hAnsi="Arial" w:cs="Arial"/>
                <w:b w:val="0"/>
                <w:color w:val="000000"/>
              </w:rPr>
              <w:t>IT systems,</w:t>
            </w:r>
          </w:p>
          <w:p w:rsidR="005F4C24" w:rsidRDefault="004C2B0D">
            <w:pPr>
              <w:numPr>
                <w:ilvl w:val="3"/>
                <w:numId w:val="27"/>
              </w:numPr>
              <w:pBdr>
                <w:top w:val="nil"/>
                <w:left w:val="nil"/>
                <w:bottom w:val="nil"/>
                <w:right w:val="nil"/>
                <w:between w:val="nil"/>
              </w:pBdr>
              <w:spacing w:after="240"/>
              <w:ind w:left="1440"/>
            </w:pPr>
            <w:r>
              <w:rPr>
                <w:rFonts w:ascii="Arial" w:eastAsia="Arial" w:hAnsi="Arial" w:cs="Arial"/>
                <w:b w:val="0"/>
                <w:color w:val="000000"/>
              </w:rPr>
              <w:t>IT services; or</w:t>
            </w:r>
          </w:p>
          <w:p w:rsidR="005F4C24" w:rsidRDefault="004C2B0D">
            <w:pPr>
              <w:numPr>
                <w:ilvl w:val="3"/>
                <w:numId w:val="27"/>
              </w:numPr>
              <w:pBdr>
                <w:top w:val="nil"/>
                <w:left w:val="nil"/>
                <w:bottom w:val="nil"/>
                <w:right w:val="nil"/>
                <w:between w:val="nil"/>
              </w:pBdr>
              <w:spacing w:after="240"/>
              <w:ind w:left="1440"/>
            </w:pPr>
            <w:r>
              <w:rPr>
                <w:rFonts w:ascii="Arial" w:eastAsia="Arial" w:hAnsi="Arial" w:cs="Arial"/>
                <w:b w:val="0"/>
                <w:color w:val="000000"/>
              </w:rPr>
              <w:t>Sites,</w:t>
            </w:r>
          </w:p>
          <w:p w:rsidR="005F4C24" w:rsidRDefault="004C2B0D">
            <w:pPr>
              <w:numPr>
                <w:ilvl w:val="1"/>
                <w:numId w:val="27"/>
              </w:numPr>
              <w:pBdr>
                <w:top w:val="nil"/>
                <w:left w:val="nil"/>
                <w:bottom w:val="nil"/>
                <w:right w:val="nil"/>
                <w:between w:val="nil"/>
              </w:pBdr>
              <w:spacing w:after="240"/>
            </w:pPr>
            <w:r>
              <w:rPr>
                <w:rFonts w:ascii="Arial" w:eastAsia="Arial" w:hAnsi="Arial" w:cs="Arial"/>
                <w:b w:val="0"/>
                <w:color w:val="000000"/>
              </w:rPr>
              <w:t>that the Supplier or any Sub-contractor will use to:</w:t>
            </w:r>
          </w:p>
          <w:p w:rsidR="005F4C24" w:rsidRDefault="004C2B0D">
            <w:pPr>
              <w:numPr>
                <w:ilvl w:val="3"/>
                <w:numId w:val="27"/>
              </w:numPr>
              <w:pBdr>
                <w:top w:val="nil"/>
                <w:left w:val="nil"/>
                <w:bottom w:val="nil"/>
                <w:right w:val="nil"/>
                <w:between w:val="nil"/>
              </w:pBdr>
              <w:spacing w:after="240"/>
              <w:ind w:left="1440"/>
            </w:pPr>
            <w:r>
              <w:rPr>
                <w:rFonts w:ascii="Arial" w:eastAsia="Arial" w:hAnsi="Arial" w:cs="Arial"/>
                <w:b w:val="0"/>
                <w:color w:val="000000"/>
              </w:rPr>
              <w:t>Process, or manage or support the Processing of, Authority Data; or</w:t>
            </w:r>
          </w:p>
          <w:p w:rsidR="005F4C24" w:rsidRDefault="004C2B0D">
            <w:pPr>
              <w:numPr>
                <w:ilvl w:val="3"/>
                <w:numId w:val="27"/>
              </w:numPr>
              <w:pBdr>
                <w:top w:val="nil"/>
                <w:left w:val="nil"/>
                <w:bottom w:val="nil"/>
                <w:right w:val="nil"/>
                <w:between w:val="nil"/>
              </w:pBdr>
              <w:spacing w:after="240"/>
              <w:ind w:left="1440"/>
            </w:pPr>
            <w:r>
              <w:rPr>
                <w:rFonts w:ascii="Arial" w:eastAsia="Arial" w:hAnsi="Arial" w:cs="Arial"/>
                <w:b w:val="0"/>
                <w:color w:val="000000"/>
              </w:rPr>
              <w:t>provide, or manage or support the provision of, the Services; or</w:t>
            </w:r>
          </w:p>
          <w:p w:rsidR="005F4C24" w:rsidRDefault="004C2B0D">
            <w:pPr>
              <w:keepNext/>
              <w:numPr>
                <w:ilvl w:val="2"/>
                <w:numId w:val="37"/>
              </w:numPr>
              <w:pBdr>
                <w:top w:val="nil"/>
                <w:left w:val="nil"/>
                <w:bottom w:val="nil"/>
                <w:right w:val="nil"/>
                <w:between w:val="nil"/>
              </w:pBdr>
              <w:spacing w:after="240"/>
              <w:ind w:left="720"/>
            </w:pPr>
            <w:r>
              <w:rPr>
                <w:rFonts w:ascii="Arial" w:eastAsia="Arial" w:hAnsi="Arial" w:cs="Arial"/>
                <w:b w:val="0"/>
                <w:color w:val="000000"/>
              </w:rPr>
              <w:t>any IT systems controlled or operated by the Supplier or any Sub-contractor that interface with such information assets, IT systems, IT services or Sites;</w:t>
            </w:r>
          </w:p>
          <w:p w:rsidR="005F4C24" w:rsidRDefault="004C2B0D">
            <w:pPr>
              <w:keepNext/>
              <w:numPr>
                <w:ilvl w:val="2"/>
                <w:numId w:val="37"/>
              </w:numPr>
              <w:pBdr>
                <w:top w:val="nil"/>
                <w:left w:val="nil"/>
                <w:bottom w:val="nil"/>
                <w:right w:val="nil"/>
                <w:between w:val="nil"/>
              </w:pBdr>
              <w:spacing w:after="240"/>
              <w:ind w:left="720"/>
            </w:pPr>
            <w:r>
              <w:rPr>
                <w:rFonts w:ascii="Arial" w:eastAsia="Arial" w:hAnsi="Arial" w:cs="Arial"/>
                <w:b w:val="0"/>
                <w:color w:val="000000"/>
              </w:rPr>
              <w:t>together with the associated information management system, including all relevant:</w:t>
            </w:r>
          </w:p>
          <w:p w:rsidR="005F4C24" w:rsidRDefault="004C2B0D">
            <w:pPr>
              <w:numPr>
                <w:ilvl w:val="3"/>
                <w:numId w:val="37"/>
              </w:numPr>
              <w:pBdr>
                <w:top w:val="nil"/>
                <w:left w:val="nil"/>
                <w:bottom w:val="nil"/>
                <w:right w:val="nil"/>
                <w:between w:val="nil"/>
              </w:pBdr>
              <w:spacing w:after="240"/>
              <w:ind w:left="1440"/>
            </w:pPr>
            <w:r>
              <w:rPr>
                <w:rFonts w:ascii="Arial" w:eastAsia="Arial" w:hAnsi="Arial" w:cs="Arial"/>
                <w:b w:val="0"/>
                <w:color w:val="000000"/>
              </w:rPr>
              <w:t>organisational structure diagrams,</w:t>
            </w:r>
          </w:p>
          <w:p w:rsidR="005F4C24" w:rsidRDefault="004C2B0D">
            <w:pPr>
              <w:numPr>
                <w:ilvl w:val="3"/>
                <w:numId w:val="37"/>
              </w:numPr>
              <w:pBdr>
                <w:top w:val="nil"/>
                <w:left w:val="nil"/>
                <w:bottom w:val="nil"/>
                <w:right w:val="nil"/>
                <w:between w:val="nil"/>
              </w:pBdr>
              <w:spacing w:after="240"/>
              <w:ind w:left="1440"/>
            </w:pPr>
            <w:r>
              <w:rPr>
                <w:rFonts w:ascii="Arial" w:eastAsia="Arial" w:hAnsi="Arial" w:cs="Arial"/>
                <w:b w:val="0"/>
                <w:color w:val="000000"/>
              </w:rPr>
              <w:t>controls,</w:t>
            </w:r>
          </w:p>
          <w:p w:rsidR="005F4C24" w:rsidRDefault="004C2B0D">
            <w:pPr>
              <w:numPr>
                <w:ilvl w:val="3"/>
                <w:numId w:val="37"/>
              </w:numPr>
              <w:pBdr>
                <w:top w:val="nil"/>
                <w:left w:val="nil"/>
                <w:bottom w:val="nil"/>
                <w:right w:val="nil"/>
                <w:between w:val="nil"/>
              </w:pBdr>
              <w:spacing w:after="240"/>
              <w:ind w:left="1440"/>
            </w:pPr>
            <w:r>
              <w:rPr>
                <w:rFonts w:ascii="Arial" w:eastAsia="Arial" w:hAnsi="Arial" w:cs="Arial"/>
                <w:b w:val="0"/>
                <w:color w:val="000000"/>
              </w:rPr>
              <w:t>policies,</w:t>
            </w:r>
          </w:p>
          <w:p w:rsidR="005F4C24" w:rsidRDefault="004C2B0D">
            <w:pPr>
              <w:numPr>
                <w:ilvl w:val="3"/>
                <w:numId w:val="37"/>
              </w:numPr>
              <w:pBdr>
                <w:top w:val="nil"/>
                <w:left w:val="nil"/>
                <w:bottom w:val="nil"/>
                <w:right w:val="nil"/>
                <w:between w:val="nil"/>
              </w:pBdr>
              <w:spacing w:after="240"/>
              <w:ind w:left="1440"/>
            </w:pPr>
            <w:r>
              <w:rPr>
                <w:rFonts w:ascii="Arial" w:eastAsia="Arial" w:hAnsi="Arial" w:cs="Arial"/>
                <w:b w:val="0"/>
                <w:color w:val="000000"/>
              </w:rPr>
              <w:t>practices,</w:t>
            </w:r>
          </w:p>
          <w:p w:rsidR="005F4C24" w:rsidRDefault="004C2B0D">
            <w:pPr>
              <w:numPr>
                <w:ilvl w:val="3"/>
                <w:numId w:val="37"/>
              </w:numPr>
              <w:pBdr>
                <w:top w:val="nil"/>
                <w:left w:val="nil"/>
                <w:bottom w:val="nil"/>
                <w:right w:val="nil"/>
                <w:between w:val="nil"/>
              </w:pBdr>
              <w:spacing w:after="240"/>
              <w:ind w:left="1440"/>
            </w:pPr>
            <w:r>
              <w:rPr>
                <w:rFonts w:ascii="Arial" w:eastAsia="Arial" w:hAnsi="Arial" w:cs="Arial"/>
                <w:b w:val="0"/>
                <w:color w:val="000000"/>
              </w:rPr>
              <w:t>procedures,</w:t>
            </w:r>
          </w:p>
          <w:p w:rsidR="005F4C24" w:rsidRDefault="004C2B0D">
            <w:pPr>
              <w:numPr>
                <w:ilvl w:val="3"/>
                <w:numId w:val="37"/>
              </w:numPr>
              <w:pBdr>
                <w:top w:val="nil"/>
                <w:left w:val="nil"/>
                <w:bottom w:val="nil"/>
                <w:right w:val="nil"/>
                <w:between w:val="nil"/>
              </w:pBdr>
              <w:spacing w:after="240"/>
              <w:ind w:left="1440"/>
            </w:pPr>
            <w:r>
              <w:rPr>
                <w:rFonts w:ascii="Arial" w:eastAsia="Arial" w:hAnsi="Arial" w:cs="Arial"/>
                <w:b w:val="0"/>
                <w:color w:val="000000"/>
              </w:rPr>
              <w:t xml:space="preserve">processes; and </w:t>
            </w:r>
          </w:p>
          <w:p w:rsidR="005F4C24" w:rsidRDefault="004C2B0D">
            <w:pPr>
              <w:numPr>
                <w:ilvl w:val="3"/>
                <w:numId w:val="37"/>
              </w:numPr>
              <w:pBdr>
                <w:top w:val="nil"/>
                <w:left w:val="nil"/>
                <w:bottom w:val="nil"/>
                <w:right w:val="nil"/>
                <w:between w:val="nil"/>
              </w:pBdr>
              <w:spacing w:after="240"/>
              <w:ind w:left="1440"/>
            </w:pPr>
            <w:r>
              <w:rPr>
                <w:rFonts w:ascii="Arial" w:eastAsia="Arial" w:hAnsi="Arial" w:cs="Arial"/>
                <w:b w:val="0"/>
                <w:color w:val="000000"/>
              </w:rPr>
              <w:t>resources.</w:t>
            </w:r>
          </w:p>
        </w:tc>
      </w:tr>
    </w:tbl>
    <w:p w:rsidR="005F4C24" w:rsidRDefault="005F4C24">
      <w:pPr>
        <w:pBdr>
          <w:top w:val="nil"/>
          <w:left w:val="nil"/>
          <w:bottom w:val="nil"/>
          <w:right w:val="nil"/>
          <w:between w:val="nil"/>
        </w:pBdr>
        <w:spacing w:after="0"/>
        <w:rPr>
          <w:color w:val="000000"/>
        </w:rPr>
      </w:pPr>
    </w:p>
    <w:p w:rsidR="005F4C24" w:rsidRDefault="004C2B0D">
      <w:pPr>
        <w:pStyle w:val="Heading1"/>
        <w:numPr>
          <w:ilvl w:val="0"/>
          <w:numId w:val="17"/>
        </w:numPr>
      </w:pPr>
      <w:bookmarkStart w:id="18" w:name="_heading=h.1pxezwc" w:colFirst="0" w:colLast="0"/>
      <w:bookmarkEnd w:id="18"/>
      <w:r>
        <w:t>Introduction</w:t>
      </w:r>
    </w:p>
    <w:p w:rsidR="005F4C24" w:rsidRDefault="004C2B0D">
      <w:pPr>
        <w:pStyle w:val="Heading2"/>
        <w:keepNext/>
        <w:numPr>
          <w:ilvl w:val="1"/>
          <w:numId w:val="17"/>
        </w:numPr>
      </w:pPr>
      <w:r>
        <w:t>This Schedule (</w:t>
      </w:r>
      <w:r>
        <w:rPr>
          <w:i/>
        </w:rPr>
        <w:t>Security Management</w:t>
      </w:r>
      <w:r>
        <w:t>) sets out:</w:t>
      </w:r>
    </w:p>
    <w:p w:rsidR="005F4C24" w:rsidRDefault="004C2B0D">
      <w:pPr>
        <w:pStyle w:val="Heading3"/>
        <w:keepNext/>
        <w:numPr>
          <w:ilvl w:val="2"/>
          <w:numId w:val="17"/>
        </w:numPr>
      </w:pPr>
      <w:r>
        <w:t>the Authority’s decision on where the Supplier may:</w:t>
      </w:r>
    </w:p>
    <w:p w:rsidR="005F4C24" w:rsidRDefault="004C2B0D">
      <w:pPr>
        <w:pStyle w:val="Heading4"/>
        <w:numPr>
          <w:ilvl w:val="3"/>
          <w:numId w:val="17"/>
        </w:numPr>
      </w:pPr>
      <w:r>
        <w:t>store, access or process Authority Data;</w:t>
      </w:r>
    </w:p>
    <w:p w:rsidR="005F4C24" w:rsidRDefault="004C2B0D">
      <w:pPr>
        <w:pStyle w:val="Heading4"/>
        <w:numPr>
          <w:ilvl w:val="3"/>
          <w:numId w:val="17"/>
        </w:numPr>
      </w:pPr>
      <w:r>
        <w:lastRenderedPageBreak/>
        <w:t>undertake the Development Activity;</w:t>
      </w:r>
    </w:p>
    <w:p w:rsidR="005F4C24" w:rsidRDefault="004C2B0D">
      <w:pPr>
        <w:pStyle w:val="Heading4"/>
        <w:numPr>
          <w:ilvl w:val="3"/>
          <w:numId w:val="17"/>
        </w:numPr>
      </w:pPr>
      <w:r>
        <w:t>host the Development Environment; and</w:t>
      </w:r>
    </w:p>
    <w:p w:rsidR="005F4C24" w:rsidRDefault="004C2B0D">
      <w:pPr>
        <w:pStyle w:val="Heading4"/>
        <w:numPr>
          <w:ilvl w:val="3"/>
          <w:numId w:val="17"/>
        </w:numPr>
      </w:pPr>
      <w:r>
        <w:t>locate Support Locations,</w:t>
      </w:r>
    </w:p>
    <w:p w:rsidR="005F4C24" w:rsidRDefault="004C2B0D">
      <w:pPr>
        <w:pBdr>
          <w:top w:val="nil"/>
          <w:left w:val="nil"/>
          <w:bottom w:val="nil"/>
          <w:right w:val="nil"/>
          <w:between w:val="nil"/>
        </w:pBdr>
        <w:ind w:left="1440"/>
        <w:rPr>
          <w:color w:val="000000"/>
        </w:rPr>
      </w:pPr>
      <w:r>
        <w:rPr>
          <w:color w:val="000000"/>
        </w:rPr>
        <w:t>(in paragraph 1)</w:t>
      </w:r>
    </w:p>
    <w:p w:rsidR="005F4C24" w:rsidRDefault="004C2B0D">
      <w:pPr>
        <w:pStyle w:val="Heading3"/>
        <w:numPr>
          <w:ilvl w:val="2"/>
          <w:numId w:val="17"/>
        </w:numPr>
      </w:pPr>
      <w:r>
        <w:t>the principles of security that apply to this Contract (in paragraph 4);</w:t>
      </w:r>
    </w:p>
    <w:p w:rsidR="005F4C24" w:rsidRDefault="004C2B0D">
      <w:pPr>
        <w:pStyle w:val="Heading3"/>
        <w:numPr>
          <w:ilvl w:val="2"/>
          <w:numId w:val="17"/>
        </w:numPr>
      </w:pPr>
      <w:r>
        <w:t>the requirement to obtain a Risk Management Approval Statement (in paragraphs 6 and 15;</w:t>
      </w:r>
    </w:p>
    <w:p w:rsidR="005F4C24" w:rsidRDefault="004C2B0D">
      <w:pPr>
        <w:pStyle w:val="Heading3"/>
        <w:numPr>
          <w:ilvl w:val="2"/>
          <w:numId w:val="17"/>
        </w:numPr>
      </w:pPr>
      <w:r>
        <w:t>the annual confirmation of compliance to be provided by the Supplier (in paragraph 7);</w:t>
      </w:r>
    </w:p>
    <w:p w:rsidR="005F4C24" w:rsidRDefault="004C2B0D">
      <w:pPr>
        <w:pStyle w:val="Heading3"/>
        <w:numPr>
          <w:ilvl w:val="2"/>
          <w:numId w:val="17"/>
        </w:numPr>
      </w:pPr>
      <w:r>
        <w:t>the governance arrangements for security matters, where these are not otherwise specified elsewhere (</w:t>
      </w:r>
      <w:r>
        <w:rPr>
          <w:i/>
        </w:rPr>
        <w:t>Governance</w:t>
      </w:r>
      <w:r>
        <w:t>) (in paragraph 8);</w:t>
      </w:r>
    </w:p>
    <w:p w:rsidR="005F4C24" w:rsidRDefault="004C2B0D">
      <w:pPr>
        <w:pStyle w:val="Heading3"/>
        <w:numPr>
          <w:ilvl w:val="2"/>
          <w:numId w:val="17"/>
        </w:numPr>
      </w:pPr>
      <w:r>
        <w:t>access to personnel (in paragraph 9);</w:t>
      </w:r>
    </w:p>
    <w:p w:rsidR="005F4C24" w:rsidRDefault="004C2B0D">
      <w:pPr>
        <w:pStyle w:val="Heading3"/>
        <w:numPr>
          <w:ilvl w:val="2"/>
          <w:numId w:val="17"/>
        </w:numPr>
      </w:pPr>
      <w:r>
        <w:t>obligations in relation to Sub-contractors (in paragraph 10);</w:t>
      </w:r>
    </w:p>
    <w:p w:rsidR="005F4C24" w:rsidRDefault="004C2B0D">
      <w:pPr>
        <w:pStyle w:val="Heading3"/>
        <w:numPr>
          <w:ilvl w:val="2"/>
          <w:numId w:val="17"/>
        </w:numPr>
      </w:pPr>
      <w:r>
        <w:t>the responsibility of the Supplier to determine the Supplier Information Management System (in paragraph 11);</w:t>
      </w:r>
    </w:p>
    <w:p w:rsidR="005F4C24" w:rsidRDefault="004C2B0D">
      <w:pPr>
        <w:pStyle w:val="Heading3"/>
        <w:numPr>
          <w:ilvl w:val="2"/>
          <w:numId w:val="17"/>
        </w:numPr>
      </w:pPr>
      <w:r>
        <w:t>the Certification Requirements (in paragraph 12);</w:t>
      </w:r>
    </w:p>
    <w:p w:rsidR="005F4C24" w:rsidRDefault="004C2B0D">
      <w:pPr>
        <w:pStyle w:val="Heading3"/>
        <w:numPr>
          <w:ilvl w:val="2"/>
          <w:numId w:val="17"/>
        </w:numPr>
      </w:pPr>
      <w:r>
        <w:t>the development, monitoring and updating of the Security Management Plan by the Supplier (in paragraphs 13, 14 and 15);</w:t>
      </w:r>
    </w:p>
    <w:p w:rsidR="005F4C24" w:rsidRDefault="004C2B0D">
      <w:pPr>
        <w:pStyle w:val="Heading3"/>
        <w:keepNext/>
        <w:numPr>
          <w:ilvl w:val="2"/>
          <w:numId w:val="17"/>
        </w:numPr>
      </w:pPr>
      <w:r>
        <w:t>the granting by the Authority of approval for the Supplier to commence:</w:t>
      </w:r>
    </w:p>
    <w:p w:rsidR="005F4C24" w:rsidRDefault="004C2B0D">
      <w:pPr>
        <w:pStyle w:val="Heading4"/>
        <w:numPr>
          <w:ilvl w:val="3"/>
          <w:numId w:val="17"/>
        </w:numPr>
      </w:pPr>
      <w:r>
        <w:t>the provision of Operational Services; and/or</w:t>
      </w:r>
    </w:p>
    <w:p w:rsidR="005F4C24" w:rsidRDefault="004C2B0D">
      <w:pPr>
        <w:pStyle w:val="Heading4"/>
        <w:numPr>
          <w:ilvl w:val="3"/>
          <w:numId w:val="17"/>
        </w:numPr>
      </w:pPr>
      <w:r>
        <w:t>Processing Authority Data (in paragraph 6);</w:t>
      </w:r>
    </w:p>
    <w:p w:rsidR="005F4C24" w:rsidRDefault="004C2B0D">
      <w:pPr>
        <w:pStyle w:val="Heading3"/>
        <w:numPr>
          <w:ilvl w:val="2"/>
          <w:numId w:val="17"/>
        </w:numPr>
      </w:pPr>
      <w:r>
        <w:t xml:space="preserve">the management of changes to the Supplier Information Management System (in paragraph 16); and </w:t>
      </w:r>
    </w:p>
    <w:p w:rsidR="005F4C24" w:rsidRDefault="004C2B0D">
      <w:pPr>
        <w:pStyle w:val="Heading3"/>
        <w:keepNext/>
        <w:numPr>
          <w:ilvl w:val="2"/>
          <w:numId w:val="17"/>
        </w:numPr>
      </w:pPr>
      <w:r>
        <w:t>the Authority’s additional remedies for breach of this Schedule (</w:t>
      </w:r>
      <w:r>
        <w:rPr>
          <w:i/>
        </w:rPr>
        <w:t>Security Management</w:t>
      </w:r>
      <w:r>
        <w:t>), including:</w:t>
      </w:r>
    </w:p>
    <w:p w:rsidR="005F4C24" w:rsidRDefault="004C2B0D">
      <w:pPr>
        <w:pStyle w:val="Heading4"/>
        <w:numPr>
          <w:ilvl w:val="3"/>
          <w:numId w:val="17"/>
        </w:numPr>
      </w:pPr>
      <w:r>
        <w:t>the requirement for Remediation Action Plans (in paragraph 17);</w:t>
      </w:r>
    </w:p>
    <w:p w:rsidR="005F4C24" w:rsidRDefault="004C2B0D">
      <w:pPr>
        <w:pStyle w:val="Heading4"/>
        <w:numPr>
          <w:ilvl w:val="3"/>
          <w:numId w:val="17"/>
        </w:numPr>
      </w:pPr>
      <w:r>
        <w:t>the appointment of Independent Security Advisers (in paragraph 18); and</w:t>
      </w:r>
    </w:p>
    <w:p w:rsidR="005F4C24" w:rsidRDefault="004C2B0D">
      <w:pPr>
        <w:pStyle w:val="Heading4"/>
        <w:numPr>
          <w:ilvl w:val="3"/>
          <w:numId w:val="17"/>
        </w:numPr>
      </w:pPr>
      <w:r>
        <w:t>the withholding of Charges by the Authority (in paragraph 19).</w:t>
      </w:r>
    </w:p>
    <w:p w:rsidR="005F4C24" w:rsidRDefault="004C2B0D">
      <w:pPr>
        <w:pStyle w:val="Heading1"/>
        <w:numPr>
          <w:ilvl w:val="0"/>
          <w:numId w:val="17"/>
        </w:numPr>
      </w:pPr>
      <w:bookmarkStart w:id="19" w:name="_heading=h.49x2ik5" w:colFirst="0" w:colLast="0"/>
      <w:bookmarkEnd w:id="19"/>
      <w:r>
        <w:t>Principles of security</w:t>
      </w:r>
    </w:p>
    <w:p w:rsidR="005F4C24" w:rsidRDefault="004C2B0D">
      <w:pPr>
        <w:pStyle w:val="Heading2"/>
        <w:keepNext/>
        <w:numPr>
          <w:ilvl w:val="1"/>
          <w:numId w:val="17"/>
        </w:numPr>
      </w:pPr>
      <w:bookmarkStart w:id="20" w:name="_heading=h.2p2csry" w:colFirst="0" w:colLast="0"/>
      <w:bookmarkEnd w:id="20"/>
      <w:r>
        <w:t>The Supplier acknowledges that the Authority places great emphasis on the confidentiality, integrity and availability of the Authority Data and, consequently, on the security of:</w:t>
      </w:r>
    </w:p>
    <w:p w:rsidR="005F4C24" w:rsidRDefault="004C2B0D">
      <w:pPr>
        <w:pStyle w:val="Heading3"/>
        <w:numPr>
          <w:ilvl w:val="2"/>
          <w:numId w:val="17"/>
        </w:numPr>
      </w:pPr>
      <w:bookmarkStart w:id="21" w:name="_heading=h.147n2zr" w:colFirst="0" w:colLast="0"/>
      <w:bookmarkEnd w:id="21"/>
      <w:r>
        <w:t>the Authority System;</w:t>
      </w:r>
    </w:p>
    <w:p w:rsidR="005F4C24" w:rsidRDefault="004C2B0D">
      <w:pPr>
        <w:pStyle w:val="Heading3"/>
        <w:numPr>
          <w:ilvl w:val="2"/>
          <w:numId w:val="17"/>
        </w:numPr>
      </w:pPr>
      <w:r>
        <w:t>the Supplier System;</w:t>
      </w:r>
    </w:p>
    <w:p w:rsidR="005F4C24" w:rsidRDefault="004C2B0D">
      <w:pPr>
        <w:pStyle w:val="Heading3"/>
        <w:numPr>
          <w:ilvl w:val="2"/>
          <w:numId w:val="17"/>
        </w:numPr>
      </w:pPr>
      <w:r>
        <w:lastRenderedPageBreak/>
        <w:t>the Sites;</w:t>
      </w:r>
    </w:p>
    <w:p w:rsidR="005F4C24" w:rsidRDefault="004C2B0D">
      <w:pPr>
        <w:pStyle w:val="Heading3"/>
        <w:numPr>
          <w:ilvl w:val="2"/>
          <w:numId w:val="17"/>
        </w:numPr>
      </w:pPr>
      <w:r>
        <w:t>the Services; and</w:t>
      </w:r>
    </w:p>
    <w:p w:rsidR="005F4C24" w:rsidRDefault="004C2B0D">
      <w:pPr>
        <w:pStyle w:val="Heading3"/>
        <w:numPr>
          <w:ilvl w:val="2"/>
          <w:numId w:val="17"/>
        </w:numPr>
      </w:pPr>
      <w:r>
        <w:t>the Supplier Information Management System.</w:t>
      </w:r>
    </w:p>
    <w:p w:rsidR="005F4C24" w:rsidRDefault="004C2B0D">
      <w:pPr>
        <w:pStyle w:val="Heading3"/>
        <w:numPr>
          <w:ilvl w:val="2"/>
          <w:numId w:val="17"/>
        </w:numPr>
      </w:pPr>
      <w:r>
        <w:t>The Parties shall share information and act in a co-operative manner at all times to further the principles of security in paragraph 4.1.</w:t>
      </w:r>
    </w:p>
    <w:p w:rsidR="005F4C24" w:rsidRDefault="004C2B0D">
      <w:pPr>
        <w:pStyle w:val="Heading3"/>
        <w:numPr>
          <w:ilvl w:val="2"/>
          <w:numId w:val="17"/>
        </w:numPr>
      </w:pPr>
      <w:r>
        <w:t>Notwithstanding any approvals or agreements provided by the Authority under this Schedule (</w:t>
      </w:r>
      <w:r>
        <w:rPr>
          <w:i/>
        </w:rPr>
        <w:t>Security Management</w:t>
      </w:r>
      <w:r>
        <w:t>), the Supplier remains responsible for:</w:t>
      </w:r>
    </w:p>
    <w:p w:rsidR="005F4C24" w:rsidRDefault="004C2B0D">
      <w:pPr>
        <w:pStyle w:val="Heading3"/>
        <w:numPr>
          <w:ilvl w:val="2"/>
          <w:numId w:val="17"/>
        </w:numPr>
      </w:pPr>
      <w:r>
        <w:t>the security, confidentiality, integrity and availability of the Authority Data when that Authority Data is under the control of the Supplier or any of its Sub-contractors; and</w:t>
      </w:r>
    </w:p>
    <w:p w:rsidR="005F4C24" w:rsidRDefault="004C2B0D">
      <w:pPr>
        <w:pStyle w:val="Heading3"/>
        <w:numPr>
          <w:ilvl w:val="2"/>
          <w:numId w:val="17"/>
        </w:numPr>
      </w:pPr>
      <w:r>
        <w:t>the security of the Supplier Information Management System.</w:t>
      </w:r>
    </w:p>
    <w:p w:rsidR="005F4C24" w:rsidRDefault="004C2B0D">
      <w:pPr>
        <w:pStyle w:val="Heading1"/>
        <w:numPr>
          <w:ilvl w:val="0"/>
          <w:numId w:val="17"/>
        </w:numPr>
      </w:pPr>
      <w:bookmarkStart w:id="22" w:name="_heading=h.3o7alnk" w:colFirst="0" w:colLast="0"/>
      <w:bookmarkEnd w:id="22"/>
      <w:r>
        <w:t>Security requirements</w:t>
      </w:r>
    </w:p>
    <w:p w:rsidR="005F4C24" w:rsidRDefault="004C2B0D">
      <w:pPr>
        <w:pStyle w:val="Heading2"/>
        <w:keepNext/>
        <w:numPr>
          <w:ilvl w:val="1"/>
          <w:numId w:val="17"/>
        </w:numPr>
      </w:pPr>
      <w:bookmarkStart w:id="23" w:name="_heading=h.23ckvvd" w:colFirst="0" w:colLast="0"/>
      <w:bookmarkEnd w:id="23"/>
      <w:r>
        <w:t>The Supplier must, unless otherwise agreed in writing with the Authority:</w:t>
      </w:r>
    </w:p>
    <w:p w:rsidR="005F4C24" w:rsidRDefault="004C2B0D">
      <w:pPr>
        <w:pStyle w:val="Heading3"/>
        <w:numPr>
          <w:ilvl w:val="2"/>
          <w:numId w:val="17"/>
        </w:numPr>
      </w:pPr>
      <w:r>
        <w:t>comply with the Security Requirements in Appendix 1;</w:t>
      </w:r>
    </w:p>
    <w:p w:rsidR="005F4C24" w:rsidRDefault="004C2B0D">
      <w:pPr>
        <w:pStyle w:val="Heading3"/>
        <w:numPr>
          <w:ilvl w:val="2"/>
          <w:numId w:val="17"/>
        </w:numPr>
      </w:pPr>
      <w:bookmarkStart w:id="24" w:name="_heading=h.ihv636" w:colFirst="0" w:colLast="0"/>
      <w:bookmarkEnd w:id="24"/>
      <w:r>
        <w:t>where the relevant option in paragraph 1 (Authority Options) is selected, comply with the Security Requirements for Development in Appendix 1; and</w:t>
      </w:r>
    </w:p>
    <w:p w:rsidR="005F4C24" w:rsidRDefault="004C2B0D">
      <w:pPr>
        <w:pStyle w:val="Heading3"/>
        <w:keepNext/>
        <w:numPr>
          <w:ilvl w:val="2"/>
          <w:numId w:val="17"/>
        </w:numPr>
      </w:pPr>
      <w:bookmarkStart w:id="25" w:name="_heading=h.32hioqz" w:colFirst="0" w:colLast="0"/>
      <w:bookmarkEnd w:id="25"/>
      <w:r>
        <w:t>ensure that Sub-contractors comply with:</w:t>
      </w:r>
    </w:p>
    <w:p w:rsidR="005F4C24" w:rsidRDefault="004C2B0D">
      <w:pPr>
        <w:pStyle w:val="Heading4"/>
        <w:numPr>
          <w:ilvl w:val="3"/>
          <w:numId w:val="17"/>
        </w:numPr>
      </w:pPr>
      <w:r>
        <w:t>all Security Requirements in Appendix 1; and</w:t>
      </w:r>
    </w:p>
    <w:p w:rsidR="005F4C24" w:rsidRDefault="004C2B0D">
      <w:pPr>
        <w:pStyle w:val="Heading4"/>
        <w:numPr>
          <w:ilvl w:val="3"/>
          <w:numId w:val="17"/>
        </w:numPr>
      </w:pPr>
      <w:r>
        <w:t>where the relevant option in paragraph 1 (</w:t>
      </w:r>
      <w:r>
        <w:rPr>
          <w:i/>
        </w:rPr>
        <w:t>Authority Options</w:t>
      </w:r>
      <w:r>
        <w:t>) is selected, all Security Requirements for Development in Appendix 1,</w:t>
      </w:r>
    </w:p>
    <w:p w:rsidR="005F4C24" w:rsidRDefault="004C2B0D">
      <w:pPr>
        <w:keepNext/>
        <w:pBdr>
          <w:top w:val="nil"/>
          <w:left w:val="nil"/>
          <w:bottom w:val="nil"/>
          <w:right w:val="nil"/>
          <w:between w:val="nil"/>
        </w:pBdr>
        <w:ind w:left="1440"/>
        <w:rPr>
          <w:color w:val="000000"/>
        </w:rPr>
      </w:pPr>
      <w:r>
        <w:rPr>
          <w:color w:val="000000"/>
        </w:rPr>
        <w:t>that apply to the activities that the Sub-contractor performs under its Sub-contract, unless:</w:t>
      </w:r>
    </w:p>
    <w:p w:rsidR="005F4C24" w:rsidRDefault="004C2B0D">
      <w:pPr>
        <w:pStyle w:val="Heading5"/>
        <w:numPr>
          <w:ilvl w:val="4"/>
          <w:numId w:val="17"/>
        </w:numPr>
      </w:pPr>
      <w:r>
        <w:t>paragraph 5.2 applies; or</w:t>
      </w:r>
    </w:p>
    <w:p w:rsidR="005F4C24" w:rsidRDefault="004C2B0D">
      <w:pPr>
        <w:pStyle w:val="Heading5"/>
        <w:numPr>
          <w:ilvl w:val="4"/>
          <w:numId w:val="17"/>
        </w:numPr>
      </w:pPr>
      <w:r>
        <w:t>the table in Appendix 4 (</w:t>
      </w:r>
      <w:r>
        <w:rPr>
          <w:i/>
        </w:rPr>
        <w:t>Sub-contractor Security Requirements and Security Requirements for Development</w:t>
      </w:r>
      <w:r>
        <w:t>) limits the Security Requirements or Security Requirements for Development that apply to a Sub-contractor.</w:t>
      </w:r>
    </w:p>
    <w:p w:rsidR="005F4C24" w:rsidRDefault="004C2B0D">
      <w:pPr>
        <w:pStyle w:val="Heading2"/>
        <w:keepNext/>
        <w:numPr>
          <w:ilvl w:val="1"/>
          <w:numId w:val="17"/>
        </w:numPr>
      </w:pPr>
      <w:bookmarkStart w:id="26" w:name="_heading=h.1hmsyys" w:colFirst="0" w:colLast="0"/>
      <w:bookmarkEnd w:id="26"/>
      <w:r>
        <w:t>Where a Sub-contractor is a SMP Sub-contractor, the Supplier shall:</w:t>
      </w:r>
    </w:p>
    <w:p w:rsidR="005F4C24" w:rsidRDefault="004C2B0D">
      <w:pPr>
        <w:pStyle w:val="Heading3"/>
        <w:numPr>
          <w:ilvl w:val="2"/>
          <w:numId w:val="17"/>
        </w:numPr>
      </w:pPr>
      <w:r>
        <w:t>use best endeavours to ensure that the SMP Sub-contractor complies with the Security Requirements;</w:t>
      </w:r>
    </w:p>
    <w:p w:rsidR="005F4C24" w:rsidRDefault="004C2B0D">
      <w:pPr>
        <w:pStyle w:val="Heading3"/>
        <w:numPr>
          <w:ilvl w:val="2"/>
          <w:numId w:val="17"/>
        </w:numPr>
      </w:pPr>
      <w:r>
        <w:t>document the differences between Security Requirements and the obligations that the SMP Sub-contractor is prepared to accept in sufficient detail to allow the Buyer to form an informed view of the risks concerned;</w:t>
      </w:r>
    </w:p>
    <w:p w:rsidR="005F4C24" w:rsidRDefault="004C2B0D">
      <w:pPr>
        <w:pStyle w:val="Heading3"/>
        <w:numPr>
          <w:ilvl w:val="2"/>
          <w:numId w:val="17"/>
        </w:numPr>
      </w:pPr>
      <w:r>
        <w:t>take such steps as the Buyer may require to mitigate those risks.</w:t>
      </w:r>
    </w:p>
    <w:p w:rsidR="005F4C24" w:rsidRDefault="004C2B0D">
      <w:pPr>
        <w:pStyle w:val="Heading1"/>
        <w:numPr>
          <w:ilvl w:val="0"/>
          <w:numId w:val="17"/>
        </w:numPr>
      </w:pPr>
      <w:bookmarkStart w:id="27" w:name="_heading=h.41mghml" w:colFirst="0" w:colLast="0"/>
      <w:bookmarkEnd w:id="27"/>
      <w:r>
        <w:lastRenderedPageBreak/>
        <w:t>Authority to proceed</w:t>
      </w:r>
    </w:p>
    <w:p w:rsidR="005F4C24" w:rsidRDefault="004C2B0D">
      <w:pPr>
        <w:pStyle w:val="Heading2"/>
        <w:keepNext/>
        <w:numPr>
          <w:ilvl w:val="1"/>
          <w:numId w:val="17"/>
        </w:numPr>
      </w:pPr>
      <w:r>
        <w:t>Notwithstanding anything in this Contract, the Supplier may not:</w:t>
      </w:r>
    </w:p>
    <w:p w:rsidR="005F4C24" w:rsidRDefault="004C2B0D">
      <w:pPr>
        <w:pStyle w:val="Heading3"/>
        <w:numPr>
          <w:ilvl w:val="2"/>
          <w:numId w:val="17"/>
        </w:numPr>
      </w:pPr>
      <w:r>
        <w:t>commence the provision of any Operational Services; or</w:t>
      </w:r>
    </w:p>
    <w:p w:rsidR="005F4C24" w:rsidRDefault="004C2B0D">
      <w:pPr>
        <w:pStyle w:val="Heading3"/>
        <w:numPr>
          <w:ilvl w:val="2"/>
          <w:numId w:val="17"/>
        </w:numPr>
      </w:pPr>
      <w:r>
        <w:t>Process any Authority Data using the Supplier Information Management System,</w:t>
      </w:r>
    </w:p>
    <w:p w:rsidR="005F4C24" w:rsidRDefault="004C2B0D">
      <w:pPr>
        <w:numPr>
          <w:ilvl w:val="1"/>
          <w:numId w:val="37"/>
        </w:numPr>
        <w:pBdr>
          <w:top w:val="nil"/>
          <w:left w:val="nil"/>
          <w:bottom w:val="nil"/>
          <w:right w:val="nil"/>
          <w:between w:val="nil"/>
        </w:pBdr>
      </w:pPr>
      <w:r>
        <w:rPr>
          <w:color w:val="000000"/>
        </w:rPr>
        <w:t>unless:</w:t>
      </w:r>
    </w:p>
    <w:p w:rsidR="005F4C24" w:rsidRDefault="004C2B0D">
      <w:pPr>
        <w:pStyle w:val="Heading4"/>
        <w:numPr>
          <w:ilvl w:val="3"/>
          <w:numId w:val="17"/>
        </w:numPr>
      </w:pPr>
      <w:bookmarkStart w:id="28" w:name="_heading=h.2grqrue" w:colFirst="0" w:colLast="0"/>
      <w:bookmarkEnd w:id="28"/>
      <w:r>
        <w:t>the Supplier has, and ensured that Sub-contractors have, obtained the Relevant Certifications under paragraph 12;</w:t>
      </w:r>
    </w:p>
    <w:p w:rsidR="005F4C24" w:rsidRDefault="004C2B0D">
      <w:pPr>
        <w:pStyle w:val="Heading4"/>
        <w:numPr>
          <w:ilvl w:val="3"/>
          <w:numId w:val="17"/>
        </w:numPr>
      </w:pPr>
      <w:r>
        <w:t>the Supplier has completed an IT Health Check in accordance with paragraph 10 of the Security Requirements; and</w:t>
      </w:r>
    </w:p>
    <w:p w:rsidR="005F4C24" w:rsidRDefault="004C2B0D">
      <w:pPr>
        <w:pStyle w:val="Heading4"/>
        <w:numPr>
          <w:ilvl w:val="3"/>
          <w:numId w:val="17"/>
        </w:numPr>
      </w:pPr>
      <w:r>
        <w:t>the Authority has issued a Risk Management Approval Statement under paragraph 15.</w:t>
      </w:r>
    </w:p>
    <w:p w:rsidR="005F4C24" w:rsidRDefault="004C2B0D">
      <w:pPr>
        <w:pStyle w:val="Heading1"/>
        <w:numPr>
          <w:ilvl w:val="0"/>
          <w:numId w:val="17"/>
        </w:numPr>
      </w:pPr>
      <w:bookmarkStart w:id="29" w:name="_heading=h.vx1227" w:colFirst="0" w:colLast="0"/>
      <w:bookmarkEnd w:id="29"/>
      <w:r>
        <w:t>Supplier confirmation</w:t>
      </w:r>
    </w:p>
    <w:p w:rsidR="005F4C24" w:rsidRDefault="004C2B0D">
      <w:pPr>
        <w:pStyle w:val="Heading2"/>
        <w:keepNext/>
        <w:numPr>
          <w:ilvl w:val="1"/>
          <w:numId w:val="17"/>
        </w:numPr>
      </w:pPr>
      <w:bookmarkStart w:id="30" w:name="_heading=h.3fwokq0" w:colFirst="0" w:colLast="0"/>
      <w:bookmarkEnd w:id="30"/>
      <w:r>
        <w:t xml:space="preserve">The Supplier must, no later than the last day of each Contract Year, provide to the Authority a letter from its </w:t>
      </w:r>
      <w:r>
        <w:rPr>
          <w:highlight w:val="white"/>
        </w:rPr>
        <w:t>chief executive officer</w:t>
      </w:r>
      <w:r>
        <w:t xml:space="preserve"> (or equivalent officer) confirming that, having made due and careful enquiry:</w:t>
      </w:r>
    </w:p>
    <w:p w:rsidR="005F4C24" w:rsidRDefault="004C2B0D">
      <w:pPr>
        <w:pStyle w:val="Heading3"/>
        <w:numPr>
          <w:ilvl w:val="2"/>
          <w:numId w:val="17"/>
        </w:numPr>
      </w:pPr>
      <w:r>
        <w:t>the Supplier has in the previous year carried out all tests and has in place all procedures required in relation to security matters required by this Contract;</w:t>
      </w:r>
    </w:p>
    <w:p w:rsidR="005F4C24" w:rsidRDefault="004C2B0D">
      <w:pPr>
        <w:pStyle w:val="Heading3"/>
        <w:keepNext/>
        <w:numPr>
          <w:ilvl w:val="2"/>
          <w:numId w:val="17"/>
        </w:numPr>
      </w:pPr>
      <w:r>
        <w:t xml:space="preserve">subject to paragraph 7.2: </w:t>
      </w:r>
    </w:p>
    <w:p w:rsidR="005F4C24" w:rsidRDefault="004C2B0D">
      <w:pPr>
        <w:pStyle w:val="Heading4"/>
        <w:numPr>
          <w:ilvl w:val="3"/>
          <w:numId w:val="17"/>
        </w:numPr>
      </w:pPr>
      <w:r>
        <w:t>it has fully complied with all requirements of this Schedule (Security Management); and</w:t>
      </w:r>
    </w:p>
    <w:p w:rsidR="005F4C24" w:rsidRDefault="004C2B0D">
      <w:pPr>
        <w:pStyle w:val="Heading4"/>
        <w:numPr>
          <w:ilvl w:val="3"/>
          <w:numId w:val="17"/>
        </w:numPr>
      </w:pPr>
      <w:r>
        <w:t>all Sub-contractors have complied with the requirements of this Schedule (Security Management) with which the Supplier is required to ensure they comply;</w:t>
      </w:r>
    </w:p>
    <w:p w:rsidR="005F4C24" w:rsidRDefault="004C2B0D">
      <w:pPr>
        <w:pStyle w:val="Heading3"/>
        <w:numPr>
          <w:ilvl w:val="2"/>
          <w:numId w:val="17"/>
        </w:numPr>
      </w:pPr>
      <w:r>
        <w:t>the Supplier considers that its security and risk mitigation procedures remain effective.</w:t>
      </w:r>
    </w:p>
    <w:p w:rsidR="005F4C24" w:rsidRDefault="004C2B0D">
      <w:pPr>
        <w:pStyle w:val="Heading2"/>
        <w:keepNext/>
        <w:numPr>
          <w:ilvl w:val="1"/>
          <w:numId w:val="17"/>
        </w:numPr>
      </w:pPr>
      <w:bookmarkStart w:id="31" w:name="_heading=h.1v1yuxt" w:colFirst="0" w:colLast="0"/>
      <w:bookmarkEnd w:id="31"/>
      <w:r>
        <w:t>Where the Authority has, in respect of the period covered by the confirmation provided under paragraph 7.1 agreed in writing that the Supplier need not, or need only partially, comply within any requirement of this Schedule (Security Management):</w:t>
      </w:r>
    </w:p>
    <w:p w:rsidR="005F4C24" w:rsidRDefault="004C2B0D">
      <w:pPr>
        <w:pStyle w:val="Heading3"/>
        <w:numPr>
          <w:ilvl w:val="2"/>
          <w:numId w:val="17"/>
        </w:numPr>
      </w:pPr>
      <w:r>
        <w:t>the confirmation must include details of the Authority’s agreement; and</w:t>
      </w:r>
    </w:p>
    <w:p w:rsidR="005F4C24" w:rsidRDefault="004C2B0D">
      <w:pPr>
        <w:pStyle w:val="Heading3"/>
        <w:numPr>
          <w:ilvl w:val="2"/>
          <w:numId w:val="17"/>
        </w:numPr>
      </w:pPr>
      <w:r>
        <w:t>confirm that the Supplier has fully complied with that modified requirement.</w:t>
      </w:r>
    </w:p>
    <w:p w:rsidR="005F4C24" w:rsidRDefault="004C2B0D">
      <w:pPr>
        <w:pStyle w:val="Heading2"/>
        <w:keepNext/>
        <w:numPr>
          <w:ilvl w:val="1"/>
          <w:numId w:val="17"/>
        </w:numPr>
      </w:pPr>
      <w:r>
        <w:t>The Supplier must:</w:t>
      </w:r>
    </w:p>
    <w:p w:rsidR="005F4C24" w:rsidRDefault="004C2B0D">
      <w:pPr>
        <w:pStyle w:val="Heading3"/>
        <w:numPr>
          <w:ilvl w:val="2"/>
          <w:numId w:val="17"/>
        </w:numPr>
      </w:pPr>
      <w:r>
        <w:t>keep and maintain a register setting out all agreements referred to in paragraph 7.2; and</w:t>
      </w:r>
    </w:p>
    <w:p w:rsidR="005F4C24" w:rsidRDefault="004C2B0D">
      <w:pPr>
        <w:pStyle w:val="Heading3"/>
        <w:numPr>
          <w:ilvl w:val="2"/>
          <w:numId w:val="17"/>
        </w:numPr>
      </w:pPr>
      <w:r>
        <w:t>provide a copy of that register to the Authority on request.</w:t>
      </w:r>
    </w:p>
    <w:p w:rsidR="005F4C24" w:rsidRDefault="004C2B0D">
      <w:pPr>
        <w:pStyle w:val="Heading1"/>
        <w:numPr>
          <w:ilvl w:val="0"/>
          <w:numId w:val="17"/>
        </w:numPr>
      </w:pPr>
      <w:bookmarkStart w:id="32" w:name="_heading=h.4f1mdlm" w:colFirst="0" w:colLast="0"/>
      <w:bookmarkEnd w:id="32"/>
      <w:r>
        <w:lastRenderedPageBreak/>
        <w:t>Governance</w:t>
      </w:r>
    </w:p>
    <w:p w:rsidR="005F4C24" w:rsidRDefault="004C2B0D">
      <w:pPr>
        <w:pStyle w:val="Heading2"/>
        <w:numPr>
          <w:ilvl w:val="1"/>
          <w:numId w:val="17"/>
        </w:numPr>
      </w:pPr>
      <w:r>
        <w:t>This paragraph 8 applies where a Security Working Group, or Board with a similar remit, is not provided for otherwise in this Contract.</w:t>
      </w:r>
    </w:p>
    <w:p w:rsidR="005F4C24" w:rsidRDefault="004C2B0D">
      <w:pPr>
        <w:pStyle w:val="Heading2"/>
        <w:numPr>
          <w:ilvl w:val="1"/>
          <w:numId w:val="17"/>
        </w:numPr>
      </w:pPr>
      <w:r>
        <w:t>The Authority must establish a Security Working Group on which both the Authority and the Supplier are represented.</w:t>
      </w:r>
    </w:p>
    <w:p w:rsidR="005F4C24" w:rsidRDefault="004C2B0D">
      <w:pPr>
        <w:pStyle w:val="Heading2"/>
        <w:keepNext/>
        <w:numPr>
          <w:ilvl w:val="1"/>
          <w:numId w:val="17"/>
        </w:numPr>
      </w:pPr>
      <w:bookmarkStart w:id="33" w:name="_heading=h.2u6wntf" w:colFirst="0" w:colLast="0"/>
      <w:bookmarkEnd w:id="33"/>
      <w:r>
        <w:t>The notice or other document establishing the Security Working Group must set out:</w:t>
      </w:r>
    </w:p>
    <w:p w:rsidR="005F4C24" w:rsidRDefault="004C2B0D">
      <w:pPr>
        <w:pStyle w:val="Heading3"/>
        <w:numPr>
          <w:ilvl w:val="2"/>
          <w:numId w:val="17"/>
        </w:numPr>
      </w:pPr>
      <w:r>
        <w:t>the Authority members;</w:t>
      </w:r>
    </w:p>
    <w:p w:rsidR="005F4C24" w:rsidRDefault="004C2B0D">
      <w:pPr>
        <w:pStyle w:val="Heading3"/>
        <w:numPr>
          <w:ilvl w:val="2"/>
          <w:numId w:val="17"/>
        </w:numPr>
      </w:pPr>
      <w:r>
        <w:t>the Supplier members;</w:t>
      </w:r>
    </w:p>
    <w:p w:rsidR="005F4C24" w:rsidRDefault="004C2B0D">
      <w:pPr>
        <w:pStyle w:val="Heading3"/>
        <w:numPr>
          <w:ilvl w:val="2"/>
          <w:numId w:val="17"/>
        </w:numPr>
      </w:pPr>
      <w:r>
        <w:t>the chairperson of the Security Working Group;</w:t>
      </w:r>
    </w:p>
    <w:p w:rsidR="005F4C24" w:rsidRDefault="004C2B0D">
      <w:pPr>
        <w:pStyle w:val="Heading3"/>
        <w:numPr>
          <w:ilvl w:val="2"/>
          <w:numId w:val="17"/>
        </w:numPr>
      </w:pPr>
      <w:r>
        <w:t>the date of the first meeting;</w:t>
      </w:r>
    </w:p>
    <w:p w:rsidR="005F4C24" w:rsidRDefault="004C2B0D">
      <w:pPr>
        <w:pStyle w:val="Heading3"/>
        <w:numPr>
          <w:ilvl w:val="2"/>
          <w:numId w:val="17"/>
        </w:numPr>
      </w:pPr>
      <w:r>
        <w:t>the frequency of meetings; and</w:t>
      </w:r>
    </w:p>
    <w:p w:rsidR="005F4C24" w:rsidRDefault="004C2B0D">
      <w:pPr>
        <w:pStyle w:val="Heading3"/>
        <w:numPr>
          <w:ilvl w:val="2"/>
          <w:numId w:val="17"/>
        </w:numPr>
      </w:pPr>
      <w:r>
        <w:t>the location of meetings</w:t>
      </w:r>
    </w:p>
    <w:p w:rsidR="005F4C24" w:rsidRDefault="004C2B0D">
      <w:pPr>
        <w:pStyle w:val="Heading2"/>
        <w:numPr>
          <w:ilvl w:val="1"/>
          <w:numId w:val="17"/>
        </w:numPr>
      </w:pPr>
      <w:r>
        <w:t>The Security Working Group has oversight of all matters relating to the security of the Authority Data and the Supplier Information Management System.</w:t>
      </w:r>
    </w:p>
    <w:p w:rsidR="005F4C24" w:rsidRDefault="004C2B0D">
      <w:pPr>
        <w:pStyle w:val="Heading2"/>
        <w:keepNext/>
        <w:numPr>
          <w:ilvl w:val="1"/>
          <w:numId w:val="17"/>
        </w:numPr>
      </w:pPr>
      <w:bookmarkStart w:id="34" w:name="_heading=h.19c6y18" w:colFirst="0" w:colLast="0"/>
      <w:bookmarkEnd w:id="34"/>
      <w:r>
        <w:t>The Security Working Group meets:</w:t>
      </w:r>
    </w:p>
    <w:p w:rsidR="005F4C24" w:rsidRDefault="004C2B0D">
      <w:pPr>
        <w:pStyle w:val="Heading3"/>
        <w:numPr>
          <w:ilvl w:val="2"/>
          <w:numId w:val="17"/>
        </w:numPr>
      </w:pPr>
      <w:r>
        <w:t>once every Contract Year following the review of the Security Management Plan by the Supplier under paragraph 14 and before the Authority has completed its review of the updated Security Management Plan under paragraph 15; and</w:t>
      </w:r>
    </w:p>
    <w:p w:rsidR="005F4C24" w:rsidRDefault="004C2B0D">
      <w:pPr>
        <w:pStyle w:val="Heading3"/>
        <w:numPr>
          <w:ilvl w:val="2"/>
          <w:numId w:val="17"/>
        </w:numPr>
      </w:pPr>
      <w:proofErr w:type="gramStart"/>
      <w:r>
        <w:t>additionally</w:t>
      </w:r>
      <w:proofErr w:type="gramEnd"/>
      <w:r>
        <w:t xml:space="preserve"> when required by the Authority.</w:t>
      </w:r>
    </w:p>
    <w:p w:rsidR="005F4C24" w:rsidRDefault="004C2B0D">
      <w:pPr>
        <w:pStyle w:val="Heading2"/>
        <w:keepNext/>
        <w:numPr>
          <w:ilvl w:val="1"/>
          <w:numId w:val="17"/>
        </w:numPr>
      </w:pPr>
      <w:r>
        <w:t>The Supplier must ensure that the Supplier Personnel attending each meeting of the Security Working Group:</w:t>
      </w:r>
    </w:p>
    <w:p w:rsidR="005F4C24" w:rsidRDefault="004C2B0D">
      <w:pPr>
        <w:pStyle w:val="Heading3"/>
        <w:numPr>
          <w:ilvl w:val="2"/>
          <w:numId w:val="17"/>
        </w:numPr>
      </w:pPr>
      <w:r>
        <w:t>have sufficient knowledge and experience to contribute to the discussion of the matters on the agenda for the meeting;</w:t>
      </w:r>
    </w:p>
    <w:p w:rsidR="005F4C24" w:rsidRDefault="004C2B0D">
      <w:pPr>
        <w:pStyle w:val="Heading3"/>
        <w:numPr>
          <w:ilvl w:val="2"/>
          <w:numId w:val="17"/>
        </w:numPr>
      </w:pPr>
      <w:r>
        <w:t>are authorised to make decisions that are binding on the Supplier in respect of those matters, including any decisions that require expenditure or investment by the Supplier; and</w:t>
      </w:r>
    </w:p>
    <w:p w:rsidR="005F4C24" w:rsidRDefault="004C2B0D">
      <w:pPr>
        <w:pStyle w:val="Heading3"/>
        <w:numPr>
          <w:ilvl w:val="2"/>
          <w:numId w:val="17"/>
        </w:numPr>
      </w:pPr>
      <w:r>
        <w:t>where relevant to the matters on the agenda for the meeting, include representatives of relevant Sub-contractors.</w:t>
      </w:r>
    </w:p>
    <w:p w:rsidR="005F4C24" w:rsidRDefault="004C2B0D">
      <w:pPr>
        <w:pStyle w:val="Heading2"/>
        <w:keepNext/>
        <w:numPr>
          <w:ilvl w:val="1"/>
          <w:numId w:val="17"/>
        </w:numPr>
      </w:pPr>
      <w:r>
        <w:t>Any decisions, recommendations or advice of the Security Working Group:</w:t>
      </w:r>
    </w:p>
    <w:p w:rsidR="005F4C24" w:rsidRDefault="004C2B0D">
      <w:pPr>
        <w:pStyle w:val="Heading3"/>
        <w:numPr>
          <w:ilvl w:val="2"/>
          <w:numId w:val="17"/>
        </w:numPr>
      </w:pPr>
      <w:r>
        <w:t>are binding on the Supplier, unless the Authority agrees otherwise; and</w:t>
      </w:r>
    </w:p>
    <w:p w:rsidR="005F4C24" w:rsidRDefault="004C2B0D">
      <w:pPr>
        <w:pStyle w:val="Heading3"/>
        <w:numPr>
          <w:ilvl w:val="2"/>
          <w:numId w:val="17"/>
        </w:numPr>
      </w:pPr>
      <w:r>
        <w:t>do not limit or modify the Supplier’s responsibilities under this Schedule (</w:t>
      </w:r>
      <w:r>
        <w:rPr>
          <w:i/>
        </w:rPr>
        <w:t>Security Management</w:t>
      </w:r>
      <w:r>
        <w:t>)</w:t>
      </w:r>
    </w:p>
    <w:p w:rsidR="005F4C24" w:rsidRDefault="004C2B0D">
      <w:pPr>
        <w:pStyle w:val="Heading2"/>
        <w:numPr>
          <w:ilvl w:val="1"/>
          <w:numId w:val="17"/>
        </w:numPr>
      </w:pPr>
      <w:r>
        <w:t>Appendix 3 applies to the Security Working Group.</w:t>
      </w:r>
    </w:p>
    <w:p w:rsidR="005F4C24" w:rsidRDefault="004C2B0D">
      <w:pPr>
        <w:pStyle w:val="Heading1"/>
        <w:numPr>
          <w:ilvl w:val="0"/>
          <w:numId w:val="17"/>
        </w:numPr>
      </w:pPr>
      <w:bookmarkStart w:id="35" w:name="_heading=h.3tbugp1" w:colFirst="0" w:colLast="0"/>
      <w:bookmarkEnd w:id="35"/>
      <w:r>
        <w:lastRenderedPageBreak/>
        <w:t>Personnel</w:t>
      </w:r>
    </w:p>
    <w:p w:rsidR="005F4C24" w:rsidRDefault="004C2B0D">
      <w:pPr>
        <w:pStyle w:val="Heading2"/>
        <w:numPr>
          <w:ilvl w:val="1"/>
          <w:numId w:val="17"/>
        </w:numPr>
      </w:pPr>
      <w:r>
        <w:t>The Supplier must ensure that it all times it maintains within the Supplier Personnel sufficient numbers of qualified, skilled security professionals to ensure the Supplier complies with the requirements of this Schedule (Security Management).</w:t>
      </w:r>
    </w:p>
    <w:p w:rsidR="005F4C24" w:rsidRDefault="004C2B0D">
      <w:pPr>
        <w:pStyle w:val="Heading2"/>
        <w:keepNext/>
        <w:numPr>
          <w:ilvl w:val="1"/>
          <w:numId w:val="17"/>
        </w:numPr>
      </w:pPr>
      <w:r>
        <w:t>To facilitate:</w:t>
      </w:r>
    </w:p>
    <w:p w:rsidR="005F4C24" w:rsidRDefault="004C2B0D">
      <w:pPr>
        <w:pStyle w:val="Heading3"/>
        <w:numPr>
          <w:ilvl w:val="2"/>
          <w:numId w:val="17"/>
        </w:numPr>
      </w:pPr>
      <w:r>
        <w:t>the Authority’s oversight of the Supplier Information Management System; and</w:t>
      </w:r>
    </w:p>
    <w:p w:rsidR="005F4C24" w:rsidRDefault="004C2B0D">
      <w:pPr>
        <w:pStyle w:val="Heading3"/>
        <w:numPr>
          <w:ilvl w:val="2"/>
          <w:numId w:val="17"/>
        </w:numPr>
      </w:pPr>
      <w:r>
        <w:t>the Supplier's design, implementation, operation, management and continual improvement of the Security Management Plan, and the security of the Services and Supplier Information Management System and otherwise,</w:t>
      </w:r>
    </w:p>
    <w:p w:rsidR="005F4C24" w:rsidRDefault="004C2B0D">
      <w:pPr>
        <w:keepNext/>
        <w:numPr>
          <w:ilvl w:val="1"/>
          <w:numId w:val="37"/>
        </w:numPr>
        <w:pBdr>
          <w:top w:val="nil"/>
          <w:left w:val="nil"/>
          <w:bottom w:val="nil"/>
          <w:right w:val="nil"/>
          <w:between w:val="nil"/>
        </w:pBdr>
      </w:pPr>
      <w:r>
        <w:rPr>
          <w:color w:val="000000"/>
        </w:rPr>
        <w:t>at reasonable times and on reasonable notice:</w:t>
      </w:r>
    </w:p>
    <w:p w:rsidR="005F4C24" w:rsidRDefault="004C2B0D">
      <w:pPr>
        <w:pStyle w:val="Heading4"/>
        <w:numPr>
          <w:ilvl w:val="3"/>
          <w:numId w:val="17"/>
        </w:numPr>
      </w:pPr>
      <w:r>
        <w:t>the Supplier shall provide access to the Supplier Personnel responsible for information assurance; and</w:t>
      </w:r>
    </w:p>
    <w:p w:rsidR="005F4C24" w:rsidRDefault="004C2B0D">
      <w:pPr>
        <w:pStyle w:val="Heading4"/>
        <w:numPr>
          <w:ilvl w:val="3"/>
          <w:numId w:val="17"/>
        </w:numPr>
      </w:pPr>
      <w:r>
        <w:t>the Authority shall provide access to its personnel responsible for information assurance.</w:t>
      </w:r>
    </w:p>
    <w:p w:rsidR="005F4C24" w:rsidRDefault="004C2B0D">
      <w:pPr>
        <w:pStyle w:val="Heading1"/>
        <w:numPr>
          <w:ilvl w:val="0"/>
          <w:numId w:val="17"/>
        </w:numPr>
      </w:pPr>
      <w:bookmarkStart w:id="36" w:name="_heading=h.28h4qwu" w:colFirst="0" w:colLast="0"/>
      <w:bookmarkEnd w:id="36"/>
      <w:r>
        <w:t>Sub-contractors</w:t>
      </w:r>
    </w:p>
    <w:p w:rsidR="005F4C24" w:rsidRDefault="004C2B0D">
      <w:pPr>
        <w:keepNext/>
        <w:pBdr>
          <w:top w:val="nil"/>
          <w:left w:val="nil"/>
          <w:bottom w:val="nil"/>
          <w:right w:val="nil"/>
          <w:between w:val="nil"/>
        </w:pBdr>
        <w:ind w:left="720"/>
        <w:rPr>
          <w:b/>
          <w:color w:val="000000"/>
        </w:rPr>
      </w:pPr>
      <w:r>
        <w:rPr>
          <w:b/>
          <w:color w:val="000000"/>
        </w:rPr>
        <w:t>SIMS Sub-contractor</w:t>
      </w:r>
    </w:p>
    <w:p w:rsidR="005F4C24" w:rsidRDefault="004C2B0D">
      <w:pPr>
        <w:pStyle w:val="Heading2"/>
        <w:numPr>
          <w:ilvl w:val="1"/>
          <w:numId w:val="17"/>
        </w:numPr>
      </w:pPr>
      <w:r>
        <w:t>Notwithstanding anything else in this Contract, but subject to paragraph 5.2, a SIMS Sub-contractor shall be treated for all purposes as a Key Sub-contractor.</w:t>
      </w:r>
    </w:p>
    <w:p w:rsidR="005F4C24" w:rsidRDefault="004C2B0D">
      <w:pPr>
        <w:pStyle w:val="Heading2"/>
        <w:numPr>
          <w:ilvl w:val="1"/>
          <w:numId w:val="17"/>
        </w:numPr>
      </w:pPr>
      <w:bookmarkStart w:id="37" w:name="_heading=h.nmf14n" w:colFirst="0" w:colLast="0"/>
      <w:bookmarkEnd w:id="37"/>
      <w:r>
        <w:t xml:space="preserve">In addition to the obligations imposed by </w:t>
      </w:r>
      <w:proofErr w:type="gramStart"/>
      <w:r>
        <w:t>this Contract on Key Sub-contractors</w:t>
      </w:r>
      <w:proofErr w:type="gramEnd"/>
      <w:r>
        <w:t>, the Supplier must ensure that the Key Subcontract with each SIMS Sub-contractor contains obligations no less onerous on the Key Sub-contractor than those imposed on the Supplier under this Schedule [x] (Security Management).</w:t>
      </w:r>
    </w:p>
    <w:p w:rsidR="005F4C24" w:rsidRDefault="004C2B0D">
      <w:pPr>
        <w:keepNext/>
        <w:pBdr>
          <w:top w:val="nil"/>
          <w:left w:val="nil"/>
          <w:bottom w:val="nil"/>
          <w:right w:val="nil"/>
          <w:between w:val="nil"/>
        </w:pBdr>
        <w:ind w:left="720"/>
        <w:rPr>
          <w:b/>
          <w:color w:val="000000"/>
        </w:rPr>
      </w:pPr>
      <w:r>
        <w:rPr>
          <w:b/>
          <w:color w:val="000000"/>
        </w:rPr>
        <w:t>Sub-contractors</w:t>
      </w:r>
    </w:p>
    <w:p w:rsidR="005F4C24" w:rsidRDefault="004C2B0D">
      <w:pPr>
        <w:pStyle w:val="Heading2"/>
        <w:keepNext/>
        <w:numPr>
          <w:ilvl w:val="1"/>
          <w:numId w:val="17"/>
        </w:numPr>
      </w:pPr>
      <w:r>
        <w:t>The Supplier must, before entering into a binding Sub-contract with any Sub-contractor:</w:t>
      </w:r>
    </w:p>
    <w:p w:rsidR="005F4C24" w:rsidRDefault="004C2B0D">
      <w:pPr>
        <w:pStyle w:val="Heading3"/>
        <w:numPr>
          <w:ilvl w:val="2"/>
          <w:numId w:val="17"/>
        </w:numPr>
      </w:pPr>
      <w:r>
        <w:t>undertake sufficient due diligence of the proposed Sub-contractor to provide reasonable assurance that the proposed Sub-contractor can perform the obligations that this Schedule requires the Supplier ensure that the proposed Sub-contractor performs;</w:t>
      </w:r>
    </w:p>
    <w:p w:rsidR="005F4C24" w:rsidRDefault="004C2B0D">
      <w:pPr>
        <w:pStyle w:val="Heading3"/>
        <w:numPr>
          <w:ilvl w:val="2"/>
          <w:numId w:val="17"/>
        </w:numPr>
      </w:pPr>
      <w:r>
        <w:t>keeps adequate records of the due diligence it has undertaken in respect of the proposed Sub-contractors; and</w:t>
      </w:r>
    </w:p>
    <w:p w:rsidR="005F4C24" w:rsidRDefault="004C2B0D">
      <w:pPr>
        <w:pStyle w:val="Heading3"/>
        <w:numPr>
          <w:ilvl w:val="2"/>
          <w:numId w:val="17"/>
        </w:numPr>
      </w:pPr>
      <w:r>
        <w:t>provides those records to the Authority on request.</w:t>
      </w:r>
    </w:p>
    <w:p w:rsidR="005F4C24" w:rsidRDefault="004C2B0D">
      <w:pPr>
        <w:keepNext/>
        <w:pBdr>
          <w:top w:val="nil"/>
          <w:left w:val="nil"/>
          <w:bottom w:val="nil"/>
          <w:right w:val="nil"/>
          <w:between w:val="nil"/>
        </w:pBdr>
        <w:ind w:left="720"/>
        <w:rPr>
          <w:b/>
          <w:color w:val="000000"/>
        </w:rPr>
      </w:pPr>
      <w:r>
        <w:rPr>
          <w:b/>
          <w:color w:val="000000"/>
        </w:rPr>
        <w:t>Key Sub-contractor Default</w:t>
      </w:r>
    </w:p>
    <w:p w:rsidR="005F4C24" w:rsidRDefault="004C2B0D">
      <w:pPr>
        <w:pStyle w:val="Heading2"/>
        <w:keepNext/>
        <w:numPr>
          <w:ilvl w:val="1"/>
          <w:numId w:val="17"/>
        </w:numPr>
      </w:pPr>
      <w:bookmarkStart w:id="38" w:name="_heading=h.37m2jsg" w:colFirst="0" w:colLast="0"/>
      <w:bookmarkEnd w:id="38"/>
      <w:r>
        <w:t xml:space="preserve">Where the Supplier becomes aware of an actual or suspected failure by a Key Sub-contractor to comply with any obligation in this Schedule with which the Supplier is, by virtue of </w:t>
      </w:r>
      <w:r>
        <w:lastRenderedPageBreak/>
        <w:t>paragraph 5.1, required to ensure the Key Sub-contractor complies (</w:t>
      </w:r>
      <w:r>
        <w:rPr>
          <w:b/>
        </w:rPr>
        <w:t>Key Sub-contractor Default</w:t>
      </w:r>
      <w:r>
        <w:t>), the Supplier must:</w:t>
      </w:r>
    </w:p>
    <w:p w:rsidR="005F4C24" w:rsidRDefault="004C2B0D">
      <w:pPr>
        <w:pStyle w:val="Heading3"/>
        <w:numPr>
          <w:ilvl w:val="2"/>
          <w:numId w:val="17"/>
        </w:numPr>
      </w:pPr>
      <w:r>
        <w:t>as soon as reasonably practicable and in any event within 2 Working days of becoming aware of the Key Sub-contractor Default notify the Authority setting out the actual or anticipated effect of the Key Sub-contractor Default; and</w:t>
      </w:r>
    </w:p>
    <w:p w:rsidR="005F4C24" w:rsidRDefault="004C2B0D">
      <w:pPr>
        <w:pStyle w:val="Heading3"/>
        <w:numPr>
          <w:ilvl w:val="2"/>
          <w:numId w:val="17"/>
        </w:numPr>
      </w:pPr>
      <w:r>
        <w:t>unless the Authority waives the requirement, comply with the Remediation Action Plan process in paragraph 17.</w:t>
      </w:r>
    </w:p>
    <w:p w:rsidR="005F4C24" w:rsidRDefault="004C2B0D">
      <w:pPr>
        <w:pStyle w:val="Heading1"/>
        <w:numPr>
          <w:ilvl w:val="0"/>
          <w:numId w:val="17"/>
        </w:numPr>
      </w:pPr>
      <w:bookmarkStart w:id="39" w:name="_heading=h.1mrcu09" w:colFirst="0" w:colLast="0"/>
      <w:bookmarkEnd w:id="39"/>
      <w:r>
        <w:t>Supplier Information Management System</w:t>
      </w:r>
    </w:p>
    <w:p w:rsidR="005F4C24" w:rsidRDefault="004C2B0D">
      <w:pPr>
        <w:pStyle w:val="Heading2"/>
        <w:keepNext/>
        <w:numPr>
          <w:ilvl w:val="1"/>
          <w:numId w:val="17"/>
        </w:numPr>
      </w:pPr>
      <w:bookmarkStart w:id="40" w:name="_heading=h.46r0co2" w:colFirst="0" w:colLast="0"/>
      <w:bookmarkEnd w:id="40"/>
      <w:r>
        <w:t>The Supplier must determine:</w:t>
      </w:r>
    </w:p>
    <w:p w:rsidR="005F4C24" w:rsidRDefault="004C2B0D">
      <w:pPr>
        <w:pStyle w:val="Heading3"/>
        <w:numPr>
          <w:ilvl w:val="2"/>
          <w:numId w:val="17"/>
        </w:numPr>
      </w:pPr>
      <w:r>
        <w:t>the scope and component parts of the Supplier Information Management System; and</w:t>
      </w:r>
    </w:p>
    <w:p w:rsidR="005F4C24" w:rsidRDefault="004C2B0D">
      <w:pPr>
        <w:pStyle w:val="Heading3"/>
        <w:numPr>
          <w:ilvl w:val="2"/>
          <w:numId w:val="17"/>
        </w:numPr>
      </w:pPr>
      <w:r>
        <w:t>the boundary between the Supplier Information Management System and the Wider Information Management System.</w:t>
      </w:r>
    </w:p>
    <w:p w:rsidR="005F4C24" w:rsidRDefault="004C2B0D">
      <w:pPr>
        <w:pStyle w:val="Heading2"/>
        <w:numPr>
          <w:ilvl w:val="1"/>
          <w:numId w:val="17"/>
        </w:numPr>
      </w:pPr>
      <w:r>
        <w:t>Before making the determination under paragraph 11.1, the Supplier must consult with the Authority and in doing so must provide the Authority with such documentation and information that the Authority may require regarding the Wider Information Management System.</w:t>
      </w:r>
    </w:p>
    <w:p w:rsidR="005F4C24" w:rsidRDefault="004C2B0D">
      <w:pPr>
        <w:pStyle w:val="Heading2"/>
        <w:numPr>
          <w:ilvl w:val="1"/>
          <w:numId w:val="17"/>
        </w:numPr>
      </w:pPr>
      <w:bookmarkStart w:id="41" w:name="_heading=h.2lwamvv" w:colFirst="0" w:colLast="0"/>
      <w:bookmarkEnd w:id="41"/>
      <w:r>
        <w:t>The Supplier shall reproduce its determination under paragraph 11.1 as a diagram documenting the components and systems forming part of, and the boundary between, the Supplier Information Management System and the Wider Information Management System.</w:t>
      </w:r>
    </w:p>
    <w:p w:rsidR="005F4C24" w:rsidRDefault="004C2B0D">
      <w:pPr>
        <w:pStyle w:val="Heading2"/>
        <w:numPr>
          <w:ilvl w:val="1"/>
          <w:numId w:val="17"/>
        </w:numPr>
      </w:pPr>
      <w:r>
        <w:t>The diagram prepared under paragraph 11.3 forms part of the Security Management Plan.</w:t>
      </w:r>
    </w:p>
    <w:p w:rsidR="005F4C24" w:rsidRDefault="004C2B0D">
      <w:pPr>
        <w:pStyle w:val="Heading2"/>
        <w:keepNext/>
        <w:numPr>
          <w:ilvl w:val="1"/>
          <w:numId w:val="17"/>
        </w:numPr>
      </w:pPr>
      <w:bookmarkStart w:id="42" w:name="_heading=h.111kx3o" w:colFirst="0" w:colLast="0"/>
      <w:bookmarkEnd w:id="42"/>
      <w:r>
        <w:t>Any proposed change to:</w:t>
      </w:r>
    </w:p>
    <w:p w:rsidR="005F4C24" w:rsidRDefault="004C2B0D">
      <w:pPr>
        <w:pStyle w:val="Heading3"/>
        <w:numPr>
          <w:ilvl w:val="2"/>
          <w:numId w:val="17"/>
        </w:numPr>
      </w:pPr>
      <w:r>
        <w:t>the component parts of the Supplier Information Management System; or</w:t>
      </w:r>
    </w:p>
    <w:p w:rsidR="005F4C24" w:rsidRDefault="004C2B0D">
      <w:pPr>
        <w:pStyle w:val="Heading3"/>
        <w:numPr>
          <w:ilvl w:val="2"/>
          <w:numId w:val="17"/>
        </w:numPr>
      </w:pPr>
      <w:r>
        <w:t>the boundary between the Supplier Information Management System and the Wider Information Management System,</w:t>
      </w:r>
    </w:p>
    <w:p w:rsidR="005F4C24" w:rsidRDefault="004C2B0D">
      <w:pPr>
        <w:keepNext/>
        <w:numPr>
          <w:ilvl w:val="1"/>
          <w:numId w:val="37"/>
        </w:numPr>
        <w:pBdr>
          <w:top w:val="nil"/>
          <w:left w:val="nil"/>
          <w:bottom w:val="nil"/>
          <w:right w:val="nil"/>
          <w:between w:val="nil"/>
        </w:pBdr>
      </w:pPr>
      <w:r>
        <w:rPr>
          <w:color w:val="000000"/>
        </w:rPr>
        <w:t>is:</w:t>
      </w:r>
    </w:p>
    <w:p w:rsidR="005F4C24" w:rsidRDefault="004C2B0D">
      <w:pPr>
        <w:pStyle w:val="Heading4"/>
        <w:numPr>
          <w:ilvl w:val="3"/>
          <w:numId w:val="17"/>
        </w:numPr>
      </w:pPr>
      <w:r>
        <w:t>an Operational Change to which the Change Control Procedure applies;</w:t>
      </w:r>
    </w:p>
    <w:p w:rsidR="005F4C24" w:rsidRDefault="004C2B0D">
      <w:pPr>
        <w:pStyle w:val="Heading4"/>
        <w:numPr>
          <w:ilvl w:val="3"/>
          <w:numId w:val="17"/>
        </w:numPr>
      </w:pPr>
      <w:r>
        <w:t>requires approval by the Authority under paragraph 16; and</w:t>
      </w:r>
    </w:p>
    <w:p w:rsidR="005F4C24" w:rsidRDefault="004C2B0D">
      <w:pPr>
        <w:pStyle w:val="Heading4"/>
        <w:numPr>
          <w:ilvl w:val="3"/>
          <w:numId w:val="17"/>
        </w:numPr>
      </w:pPr>
      <w:r>
        <w:t>the Authority may require the appointment of an Independent Security Adviser to advise on the proposed change.</w:t>
      </w:r>
    </w:p>
    <w:p w:rsidR="005F4C24" w:rsidRDefault="004C2B0D">
      <w:pPr>
        <w:pStyle w:val="Heading1"/>
        <w:numPr>
          <w:ilvl w:val="0"/>
          <w:numId w:val="17"/>
        </w:numPr>
      </w:pPr>
      <w:bookmarkStart w:id="43" w:name="_heading=h.3l18frh" w:colFirst="0" w:colLast="0"/>
      <w:bookmarkEnd w:id="43"/>
      <w:r>
        <w:t>Certification Requirements</w:t>
      </w:r>
    </w:p>
    <w:p w:rsidR="005F4C24" w:rsidRDefault="004C2B0D">
      <w:pPr>
        <w:pStyle w:val="Heading2"/>
        <w:keepNext/>
        <w:numPr>
          <w:ilvl w:val="1"/>
          <w:numId w:val="17"/>
        </w:numPr>
      </w:pPr>
      <w:r>
        <w:t>The Supplier shall ensure that, unless otherwise agreed by the Authority, both:</w:t>
      </w:r>
    </w:p>
    <w:p w:rsidR="005F4C24" w:rsidRDefault="004C2B0D">
      <w:pPr>
        <w:pStyle w:val="Heading3"/>
        <w:numPr>
          <w:ilvl w:val="2"/>
          <w:numId w:val="17"/>
        </w:numPr>
      </w:pPr>
      <w:r>
        <w:t>it; and</w:t>
      </w:r>
    </w:p>
    <w:p w:rsidR="005F4C24" w:rsidRDefault="004C2B0D">
      <w:pPr>
        <w:pStyle w:val="Heading3"/>
        <w:numPr>
          <w:ilvl w:val="2"/>
          <w:numId w:val="17"/>
        </w:numPr>
      </w:pPr>
      <w:r>
        <w:t>any Sub-contractor,</w:t>
      </w:r>
    </w:p>
    <w:p w:rsidR="005F4C24" w:rsidRDefault="004C2B0D">
      <w:pPr>
        <w:keepNext/>
        <w:numPr>
          <w:ilvl w:val="1"/>
          <w:numId w:val="37"/>
        </w:numPr>
        <w:pBdr>
          <w:top w:val="nil"/>
          <w:left w:val="nil"/>
          <w:bottom w:val="nil"/>
          <w:right w:val="nil"/>
          <w:between w:val="nil"/>
        </w:pBdr>
      </w:pPr>
      <w:r>
        <w:rPr>
          <w:color w:val="000000"/>
        </w:rPr>
        <w:lastRenderedPageBreak/>
        <w:t>are certified as compliant with the Relevant Certifications, that is to say:</w:t>
      </w:r>
    </w:p>
    <w:p w:rsidR="005F4C24" w:rsidRDefault="004C2B0D">
      <w:pPr>
        <w:pStyle w:val="Heading3"/>
        <w:keepNext/>
        <w:numPr>
          <w:ilvl w:val="2"/>
          <w:numId w:val="17"/>
        </w:numPr>
      </w:pPr>
      <w:r>
        <w:t>in the case of the Supplier, any SIMS Sub-contractor, any Key Sub-contractor and any Higher-risk Sub-contractor:</w:t>
      </w:r>
    </w:p>
    <w:p w:rsidR="005F4C24" w:rsidRDefault="004C2B0D">
      <w:pPr>
        <w:pStyle w:val="Heading4"/>
        <w:numPr>
          <w:ilvl w:val="3"/>
          <w:numId w:val="17"/>
        </w:numPr>
      </w:pPr>
      <w:r>
        <w:t>an ISO Certification by a UKAS-approved certification body in respect of the Supplier Information Management System, or the Supplier Information Management System is included within the scope of a wider certification of compliance with an ISO Certification; and</w:t>
      </w:r>
    </w:p>
    <w:p w:rsidR="005F4C24" w:rsidRDefault="004C2B0D">
      <w:pPr>
        <w:pStyle w:val="Heading4"/>
        <w:numPr>
          <w:ilvl w:val="3"/>
          <w:numId w:val="17"/>
        </w:numPr>
      </w:pPr>
      <w:r>
        <w:t>Cyber Essentials Plus (within 3-6 months of contract award); and</w:t>
      </w:r>
    </w:p>
    <w:p w:rsidR="005F4C24" w:rsidRDefault="004C2B0D">
      <w:pPr>
        <w:pStyle w:val="Heading3"/>
        <w:numPr>
          <w:ilvl w:val="2"/>
          <w:numId w:val="17"/>
        </w:numPr>
      </w:pPr>
      <w:r>
        <w:t>for all other Sub-contractors, Cyber Essentials Plus.</w:t>
      </w:r>
    </w:p>
    <w:p w:rsidR="005F4C24" w:rsidRDefault="004C2B0D">
      <w:pPr>
        <w:pStyle w:val="Heading2"/>
        <w:keepNext/>
        <w:numPr>
          <w:ilvl w:val="1"/>
          <w:numId w:val="17"/>
        </w:numPr>
      </w:pPr>
      <w:r>
        <w:t>Unless otherwise agreed by the Authority, before it begins to provide the Services, the Supplier must provide the Authority with a copy of:</w:t>
      </w:r>
    </w:p>
    <w:p w:rsidR="005F4C24" w:rsidRDefault="004C2B0D">
      <w:pPr>
        <w:pStyle w:val="Heading3"/>
        <w:numPr>
          <w:ilvl w:val="2"/>
          <w:numId w:val="17"/>
        </w:numPr>
      </w:pPr>
      <w:r>
        <w:t>the Relevant Certifications for it and any Sub-contractor; and</w:t>
      </w:r>
    </w:p>
    <w:p w:rsidR="005F4C24" w:rsidRDefault="004C2B0D">
      <w:pPr>
        <w:pStyle w:val="Heading3"/>
        <w:numPr>
          <w:ilvl w:val="2"/>
          <w:numId w:val="17"/>
        </w:numPr>
      </w:pPr>
      <w:r>
        <w:t>the relevant scope and statement of applicability required under the ISO/IEC 27001 Relevant Certifications.</w:t>
      </w:r>
    </w:p>
    <w:p w:rsidR="005F4C24" w:rsidRDefault="004C2B0D">
      <w:pPr>
        <w:pStyle w:val="Heading2"/>
        <w:keepNext/>
        <w:numPr>
          <w:ilvl w:val="1"/>
          <w:numId w:val="17"/>
        </w:numPr>
      </w:pPr>
      <w:bookmarkStart w:id="44" w:name="_heading=h.206ipza" w:colFirst="0" w:colLast="0"/>
      <w:bookmarkEnd w:id="44"/>
      <w:r>
        <w:t>The Supplier must ensure that at the time it begins to provide the Services, the Relevant Certifications for it and any Sub-contractor are:</w:t>
      </w:r>
    </w:p>
    <w:p w:rsidR="005F4C24" w:rsidRDefault="004C2B0D">
      <w:pPr>
        <w:pStyle w:val="Heading3"/>
        <w:numPr>
          <w:ilvl w:val="2"/>
          <w:numId w:val="17"/>
        </w:numPr>
      </w:pPr>
      <w:r>
        <w:t>currently in effect;</w:t>
      </w:r>
    </w:p>
    <w:p w:rsidR="005F4C24" w:rsidRDefault="004C2B0D">
      <w:pPr>
        <w:pStyle w:val="Heading3"/>
        <w:numPr>
          <w:ilvl w:val="2"/>
          <w:numId w:val="17"/>
        </w:numPr>
      </w:pPr>
      <w:r>
        <w:t>cover at least the full scope of the Supplier Information Management System; and</w:t>
      </w:r>
    </w:p>
    <w:p w:rsidR="005F4C24" w:rsidRDefault="004C2B0D">
      <w:pPr>
        <w:pStyle w:val="Heading3"/>
        <w:numPr>
          <w:ilvl w:val="2"/>
          <w:numId w:val="17"/>
        </w:numPr>
      </w:pPr>
      <w:r>
        <w:t>are not subject to any condition that may impact the provision of the Services or the Development Activity,</w:t>
      </w:r>
    </w:p>
    <w:p w:rsidR="005F4C24" w:rsidRDefault="004C2B0D">
      <w:pPr>
        <w:numPr>
          <w:ilvl w:val="1"/>
          <w:numId w:val="37"/>
        </w:numPr>
        <w:pBdr>
          <w:top w:val="nil"/>
          <w:left w:val="nil"/>
          <w:bottom w:val="nil"/>
          <w:right w:val="nil"/>
          <w:between w:val="nil"/>
        </w:pBdr>
      </w:pPr>
      <w:r>
        <w:rPr>
          <w:color w:val="000000"/>
        </w:rPr>
        <w:t>(</w:t>
      </w:r>
      <w:r>
        <w:rPr>
          <w:b/>
          <w:color w:val="000000"/>
        </w:rPr>
        <w:t>Certification Requirements</w:t>
      </w:r>
      <w:r>
        <w:rPr>
          <w:color w:val="000000"/>
        </w:rPr>
        <w:t>).</w:t>
      </w:r>
    </w:p>
    <w:p w:rsidR="005F4C24" w:rsidRDefault="004C2B0D">
      <w:pPr>
        <w:pStyle w:val="Heading2"/>
        <w:keepNext/>
        <w:numPr>
          <w:ilvl w:val="1"/>
          <w:numId w:val="17"/>
        </w:numPr>
      </w:pPr>
      <w:bookmarkStart w:id="45" w:name="_heading=h.4k668n3" w:colFirst="0" w:colLast="0"/>
      <w:bookmarkEnd w:id="45"/>
      <w:r>
        <w:t>The Supplier must notify the Authority promptly, and in any event within 3 Working Days, after becoming aware that, in respect of it or any Sub-contractor:</w:t>
      </w:r>
    </w:p>
    <w:p w:rsidR="005F4C24" w:rsidRDefault="004C2B0D">
      <w:pPr>
        <w:pStyle w:val="Heading3"/>
        <w:numPr>
          <w:ilvl w:val="2"/>
          <w:numId w:val="17"/>
        </w:numPr>
      </w:pPr>
      <w:r>
        <w:t>a Relevant Certification has been revoked or cancelled by the body that awarded it;</w:t>
      </w:r>
    </w:p>
    <w:p w:rsidR="005F4C24" w:rsidRDefault="004C2B0D">
      <w:pPr>
        <w:pStyle w:val="Heading3"/>
        <w:numPr>
          <w:ilvl w:val="2"/>
          <w:numId w:val="17"/>
        </w:numPr>
      </w:pPr>
      <w:r>
        <w:t>a Relevant Certification expired and has not been renewed by the Supplier;</w:t>
      </w:r>
    </w:p>
    <w:p w:rsidR="005F4C24" w:rsidRDefault="004C2B0D">
      <w:pPr>
        <w:pStyle w:val="Heading3"/>
        <w:numPr>
          <w:ilvl w:val="2"/>
          <w:numId w:val="17"/>
        </w:numPr>
      </w:pPr>
      <w:r>
        <w:t>a Relevant Certification no longer applies to the full scope of the Supplier Information Management System; or</w:t>
      </w:r>
    </w:p>
    <w:p w:rsidR="005F4C24" w:rsidRDefault="004C2B0D">
      <w:pPr>
        <w:pStyle w:val="Heading3"/>
        <w:numPr>
          <w:ilvl w:val="2"/>
          <w:numId w:val="17"/>
        </w:numPr>
      </w:pPr>
      <w:r>
        <w:t xml:space="preserve">the body that awarded a Relevant Certification has made it subject to conditions, the compliance with which may impact the provision of the Services (each a </w:t>
      </w:r>
      <w:r>
        <w:rPr>
          <w:b/>
        </w:rPr>
        <w:t>Certification Default</w:t>
      </w:r>
      <w:r>
        <w:t>)</w:t>
      </w:r>
    </w:p>
    <w:p w:rsidR="005F4C24" w:rsidRDefault="004C2B0D">
      <w:pPr>
        <w:pStyle w:val="Heading2"/>
        <w:keepNext/>
        <w:numPr>
          <w:ilvl w:val="1"/>
          <w:numId w:val="17"/>
        </w:numPr>
      </w:pPr>
      <w:r>
        <w:t>Where the Supplier has notified the Authority of a Certification Default under paragraph 12.4:</w:t>
      </w:r>
    </w:p>
    <w:p w:rsidR="005F4C24" w:rsidRDefault="004C2B0D">
      <w:pPr>
        <w:pStyle w:val="Heading3"/>
        <w:keepNext/>
        <w:numPr>
          <w:ilvl w:val="2"/>
          <w:numId w:val="17"/>
        </w:numPr>
      </w:pPr>
      <w:r>
        <w:t>the Supplier must, within 10 Working Days of the date in which the Supplier provided notice under paragraph 12.4 (or such other period as the Parties may agree) provide a draft plan (</w:t>
      </w:r>
      <w:r>
        <w:rPr>
          <w:b/>
        </w:rPr>
        <w:t>Certification Rectification Plan</w:t>
      </w:r>
      <w:r>
        <w:t>) to the Authority setting out:</w:t>
      </w:r>
    </w:p>
    <w:p w:rsidR="005F4C24" w:rsidRDefault="004C2B0D">
      <w:pPr>
        <w:pStyle w:val="Heading4"/>
        <w:numPr>
          <w:ilvl w:val="3"/>
          <w:numId w:val="17"/>
        </w:numPr>
      </w:pPr>
      <w:r>
        <w:t>full details of the Certification Default, including a root cause analysis;</w:t>
      </w:r>
    </w:p>
    <w:p w:rsidR="005F4C24" w:rsidRDefault="004C2B0D">
      <w:pPr>
        <w:pStyle w:val="Heading4"/>
        <w:numPr>
          <w:ilvl w:val="3"/>
          <w:numId w:val="17"/>
        </w:numPr>
      </w:pPr>
      <w:r>
        <w:t>the actual and anticipated effects of the Certification Default;</w:t>
      </w:r>
    </w:p>
    <w:p w:rsidR="005F4C24" w:rsidRDefault="004C2B0D">
      <w:pPr>
        <w:pStyle w:val="Heading4"/>
        <w:numPr>
          <w:ilvl w:val="3"/>
          <w:numId w:val="17"/>
        </w:numPr>
      </w:pPr>
      <w:r>
        <w:lastRenderedPageBreak/>
        <w:t>the steps the Supplier and any Sub-contractor to which the Certification Default relates will take to remedy the Certification Default;</w:t>
      </w:r>
    </w:p>
    <w:p w:rsidR="005F4C24" w:rsidRDefault="004C2B0D">
      <w:pPr>
        <w:pStyle w:val="Heading3"/>
        <w:numPr>
          <w:ilvl w:val="2"/>
          <w:numId w:val="17"/>
        </w:numPr>
      </w:pPr>
      <w:bookmarkStart w:id="46" w:name="_heading=h.2zbgiuw" w:colFirst="0" w:colLast="0"/>
      <w:bookmarkEnd w:id="46"/>
      <w:r>
        <w:t>the Authority must notify the Supplier as soon as reasonably practicable whether it accepts or rejects the Certification Rectification Plan;</w:t>
      </w:r>
    </w:p>
    <w:p w:rsidR="005F4C24" w:rsidRDefault="004C2B0D">
      <w:pPr>
        <w:pStyle w:val="Heading3"/>
        <w:numPr>
          <w:ilvl w:val="2"/>
          <w:numId w:val="17"/>
        </w:numPr>
      </w:pPr>
      <w:bookmarkStart w:id="47" w:name="_heading=h.1egqt2p" w:colFirst="0" w:colLast="0"/>
      <w:bookmarkEnd w:id="47"/>
      <w:r>
        <w:t>if the Authority rejects the Certification Rectification Plan, the Supplier must within 5 Working Days of the date of the rejection submit a revised Certification Rectification Plan and paragraph 12.5(b) will apply to the re-submitted plan;</w:t>
      </w:r>
    </w:p>
    <w:p w:rsidR="005F4C24" w:rsidRDefault="004C2B0D">
      <w:pPr>
        <w:pStyle w:val="Heading3"/>
        <w:numPr>
          <w:ilvl w:val="2"/>
          <w:numId w:val="17"/>
        </w:numPr>
      </w:pPr>
      <w:r>
        <w:t>the rejection by the Authority of a revised Certification Rectification Plan is a material Default of this Contract;</w:t>
      </w:r>
    </w:p>
    <w:p w:rsidR="005F4C24" w:rsidRDefault="004C2B0D">
      <w:pPr>
        <w:pStyle w:val="Heading3"/>
        <w:numPr>
          <w:ilvl w:val="2"/>
          <w:numId w:val="17"/>
        </w:numPr>
      </w:pPr>
      <w:r>
        <w:t>if the Buyer accepts the Certification Rectification Plan, the Supplier must start work immediately on the plan.</w:t>
      </w:r>
    </w:p>
    <w:p w:rsidR="005F4C24" w:rsidRDefault="004C2B0D">
      <w:pPr>
        <w:pStyle w:val="Heading1"/>
        <w:numPr>
          <w:ilvl w:val="0"/>
          <w:numId w:val="17"/>
        </w:numPr>
      </w:pPr>
      <w:bookmarkStart w:id="48" w:name="_heading=h.3ygebqi" w:colFirst="0" w:colLast="0"/>
      <w:bookmarkEnd w:id="48"/>
      <w:r>
        <w:t>Security Management Plan</w:t>
      </w:r>
    </w:p>
    <w:p w:rsidR="005F4C24" w:rsidRDefault="004C2B0D">
      <w:pPr>
        <w:keepNext/>
        <w:pBdr>
          <w:top w:val="nil"/>
          <w:left w:val="nil"/>
          <w:bottom w:val="nil"/>
          <w:right w:val="nil"/>
          <w:between w:val="nil"/>
        </w:pBdr>
        <w:ind w:left="720"/>
        <w:rPr>
          <w:b/>
          <w:color w:val="000000"/>
        </w:rPr>
      </w:pPr>
      <w:r>
        <w:rPr>
          <w:b/>
          <w:color w:val="000000"/>
        </w:rPr>
        <w:t>Purpose of Security Management Plan</w:t>
      </w:r>
    </w:p>
    <w:p w:rsidR="005F4C24" w:rsidRDefault="004C2B0D">
      <w:pPr>
        <w:pStyle w:val="Heading2"/>
        <w:numPr>
          <w:ilvl w:val="1"/>
          <w:numId w:val="17"/>
        </w:numPr>
      </w:pPr>
      <w:bookmarkStart w:id="49" w:name="_heading=h.2dlolyb" w:colFirst="0" w:colLast="0"/>
      <w:bookmarkEnd w:id="49"/>
      <w:r>
        <w:t>The Authority may, at any time, provide the Supplier with a Statement of Risk Appetite.</w:t>
      </w:r>
    </w:p>
    <w:p w:rsidR="005F4C24" w:rsidRDefault="004C2B0D">
      <w:pPr>
        <w:pStyle w:val="Heading2"/>
        <w:keepNext/>
        <w:numPr>
          <w:ilvl w:val="1"/>
          <w:numId w:val="17"/>
        </w:numPr>
      </w:pPr>
      <w:bookmarkStart w:id="50" w:name="_heading=h.sqyw64" w:colFirst="0" w:colLast="0"/>
      <w:bookmarkEnd w:id="50"/>
      <w:r>
        <w:t>The Supplier must document in the Security Management Plan how the Supplier and its Sub-contractors will:</w:t>
      </w:r>
    </w:p>
    <w:p w:rsidR="005F4C24" w:rsidRDefault="004C2B0D">
      <w:pPr>
        <w:pStyle w:val="Heading3"/>
        <w:numPr>
          <w:ilvl w:val="2"/>
          <w:numId w:val="17"/>
        </w:numPr>
      </w:pPr>
      <w:r>
        <w:t>comply with the requirements set out in this Schedule (</w:t>
      </w:r>
      <w:r>
        <w:rPr>
          <w:i/>
        </w:rPr>
        <w:t>Security Management</w:t>
      </w:r>
      <w:r>
        <w:t>) and the Contract in order to ensure the security of the Authority Data and the Supplier Information Management System; and</w:t>
      </w:r>
    </w:p>
    <w:p w:rsidR="005F4C24" w:rsidRDefault="004C2B0D">
      <w:pPr>
        <w:pStyle w:val="Heading3"/>
        <w:numPr>
          <w:ilvl w:val="2"/>
          <w:numId w:val="17"/>
        </w:numPr>
      </w:pPr>
      <w:r>
        <w:t xml:space="preserve">ensure that the operation of the Supplier Information Management System and the provision of the Services does not give rise to any information security risks greater than those set out in that Statement of Information Risk Appetite (where one has been provided). </w:t>
      </w:r>
    </w:p>
    <w:p w:rsidR="005F4C24" w:rsidRDefault="004C2B0D">
      <w:pPr>
        <w:pStyle w:val="Heading2"/>
        <w:keepNext/>
        <w:numPr>
          <w:ilvl w:val="1"/>
          <w:numId w:val="17"/>
        </w:numPr>
      </w:pPr>
      <w:bookmarkStart w:id="51" w:name="_heading=h.3cqmetx" w:colFirst="0" w:colLast="0"/>
      <w:bookmarkEnd w:id="51"/>
      <w:r>
        <w:t>The Supplier must ensure that:</w:t>
      </w:r>
    </w:p>
    <w:p w:rsidR="005F4C24" w:rsidRDefault="004C2B0D">
      <w:pPr>
        <w:pStyle w:val="Heading3"/>
        <w:numPr>
          <w:ilvl w:val="2"/>
          <w:numId w:val="17"/>
        </w:numPr>
      </w:pPr>
      <w:r>
        <w:t xml:space="preserve">the Security Management Plan accurately represents the Supplier Information Management System; </w:t>
      </w:r>
    </w:p>
    <w:p w:rsidR="005F4C24" w:rsidRDefault="004C2B0D">
      <w:pPr>
        <w:pStyle w:val="Heading3"/>
        <w:numPr>
          <w:ilvl w:val="2"/>
          <w:numId w:val="17"/>
        </w:numPr>
      </w:pPr>
      <w:r>
        <w:t xml:space="preserve">the Supplier Information Management System will meet the requirements of this </w:t>
      </w:r>
      <w:proofErr w:type="gramStart"/>
      <w:r>
        <w:t>Schedule  (</w:t>
      </w:r>
      <w:proofErr w:type="gramEnd"/>
      <w:r>
        <w:rPr>
          <w:i/>
        </w:rPr>
        <w:t>Security Management</w:t>
      </w:r>
      <w:r>
        <w:t>) and the Statement of Risk Appetite (where one has been provided); and</w:t>
      </w:r>
    </w:p>
    <w:p w:rsidR="005F4C24" w:rsidRDefault="004C2B0D">
      <w:pPr>
        <w:pStyle w:val="Heading3"/>
        <w:numPr>
          <w:ilvl w:val="2"/>
          <w:numId w:val="17"/>
        </w:numPr>
      </w:pPr>
      <w:r>
        <w:t>the residual risks of the Supplier Information Management System are no greater than those provided for in the Statement of Risk Appetite (where one has been provided).</w:t>
      </w:r>
    </w:p>
    <w:p w:rsidR="005F4C24" w:rsidRDefault="004C2B0D">
      <w:pPr>
        <w:keepNext/>
        <w:pBdr>
          <w:top w:val="nil"/>
          <w:left w:val="nil"/>
          <w:bottom w:val="nil"/>
          <w:right w:val="nil"/>
          <w:between w:val="nil"/>
        </w:pBdr>
        <w:ind w:left="720"/>
        <w:rPr>
          <w:b/>
          <w:color w:val="000000"/>
        </w:rPr>
      </w:pPr>
      <w:r>
        <w:rPr>
          <w:b/>
          <w:color w:val="000000"/>
        </w:rPr>
        <w:t>Preparation of Security Management Plan</w:t>
      </w:r>
    </w:p>
    <w:p w:rsidR="005F4C24" w:rsidRDefault="004C2B0D">
      <w:pPr>
        <w:pStyle w:val="Heading2"/>
        <w:keepNext/>
        <w:numPr>
          <w:ilvl w:val="1"/>
          <w:numId w:val="17"/>
        </w:numPr>
      </w:pPr>
      <w:r>
        <w:t>The Supplier must prepare and submit the Security Management Plan to the Authority:</w:t>
      </w:r>
    </w:p>
    <w:p w:rsidR="005F4C24" w:rsidRDefault="004C2B0D">
      <w:pPr>
        <w:pStyle w:val="Heading3"/>
        <w:numPr>
          <w:ilvl w:val="2"/>
          <w:numId w:val="17"/>
        </w:numPr>
      </w:pPr>
      <w:r>
        <w:t>by the date specified in the Detailed Implementation Plan; or</w:t>
      </w:r>
    </w:p>
    <w:p w:rsidR="005F4C24" w:rsidRDefault="004C2B0D">
      <w:pPr>
        <w:pStyle w:val="Heading3"/>
        <w:numPr>
          <w:ilvl w:val="2"/>
          <w:numId w:val="17"/>
        </w:numPr>
      </w:pPr>
      <w:bookmarkStart w:id="52" w:name="_heading=h.1rvwp1q" w:colFirst="0" w:colLast="0"/>
      <w:bookmarkEnd w:id="52"/>
      <w:r>
        <w:t>if no such date is specified, in sufficient time to allow for the Authority to review and approve the Security Management Plan before the first Operational Service Commencement Date.</w:t>
      </w:r>
    </w:p>
    <w:p w:rsidR="005F4C24" w:rsidRDefault="004C2B0D">
      <w:pPr>
        <w:pStyle w:val="Heading2"/>
        <w:numPr>
          <w:ilvl w:val="1"/>
          <w:numId w:val="17"/>
        </w:numPr>
      </w:pPr>
      <w:r>
        <w:lastRenderedPageBreak/>
        <w:t>If paragraph 13.4(b) applies, and any delay resulting from the Authority’s review and approval of the Security Management Plan causes or contributes to Supplier Non-Performance under clause 29.1, that delay is not an Authority Cause and the Supplier shall not be entitled to any relief or compensation under clause 29.</w:t>
      </w:r>
    </w:p>
    <w:p w:rsidR="005F4C24" w:rsidRDefault="004C2B0D">
      <w:pPr>
        <w:keepNext/>
        <w:pBdr>
          <w:top w:val="nil"/>
          <w:left w:val="nil"/>
          <w:bottom w:val="nil"/>
          <w:right w:val="nil"/>
          <w:between w:val="nil"/>
        </w:pBdr>
        <w:ind w:left="720"/>
        <w:rPr>
          <w:b/>
          <w:color w:val="000000"/>
        </w:rPr>
      </w:pPr>
      <w:r>
        <w:rPr>
          <w:b/>
          <w:color w:val="000000"/>
        </w:rPr>
        <w:t>Contents of Security Management Plan</w:t>
      </w:r>
    </w:p>
    <w:p w:rsidR="005F4C24" w:rsidRDefault="004C2B0D">
      <w:pPr>
        <w:pStyle w:val="Heading2"/>
        <w:keepNext/>
        <w:numPr>
          <w:ilvl w:val="1"/>
          <w:numId w:val="17"/>
        </w:numPr>
      </w:pPr>
      <w:r>
        <w:t>The Security Management Plan must use the template in Appendix 5 and must include:</w:t>
      </w:r>
    </w:p>
    <w:p w:rsidR="005F4C24" w:rsidRDefault="004C2B0D">
      <w:pPr>
        <w:pStyle w:val="Heading3"/>
        <w:numPr>
          <w:ilvl w:val="2"/>
          <w:numId w:val="17"/>
        </w:numPr>
      </w:pPr>
      <w:r>
        <w:t>a formal information risk assessment of, and a risk treatment plan for, the Supplier Information Management System;</w:t>
      </w:r>
    </w:p>
    <w:p w:rsidR="005F4C24" w:rsidRDefault="004C2B0D">
      <w:pPr>
        <w:pStyle w:val="Heading3"/>
        <w:numPr>
          <w:ilvl w:val="2"/>
          <w:numId w:val="17"/>
        </w:numPr>
      </w:pPr>
      <w:r>
        <w:t>a completed statement of applicability under the relevant ISO Certification for the Supplier Information Management System;</w:t>
      </w:r>
    </w:p>
    <w:p w:rsidR="005F4C24" w:rsidRDefault="004C2B0D">
      <w:pPr>
        <w:pStyle w:val="Heading3"/>
        <w:numPr>
          <w:ilvl w:val="2"/>
          <w:numId w:val="17"/>
        </w:numPr>
      </w:pPr>
      <w:r>
        <w:t>the process for managing any security risks from Sub-contractors and third parties with access to the Services, the Supplier Information Management System or the Authority Data;</w:t>
      </w:r>
    </w:p>
    <w:p w:rsidR="005F4C24" w:rsidRDefault="004C2B0D">
      <w:pPr>
        <w:pStyle w:val="Heading3"/>
        <w:keepNext/>
        <w:numPr>
          <w:ilvl w:val="2"/>
          <w:numId w:val="17"/>
        </w:numPr>
      </w:pPr>
      <w:r>
        <w:t>unless such requirement is waived by the Authority, the controls the Supplier will implement in respect of the Services and all processes associated with the delivery of the Services, including in respect of:</w:t>
      </w:r>
    </w:p>
    <w:p w:rsidR="005F4C24" w:rsidRDefault="004C2B0D">
      <w:pPr>
        <w:pStyle w:val="Heading4"/>
        <w:numPr>
          <w:ilvl w:val="3"/>
          <w:numId w:val="17"/>
        </w:numPr>
      </w:pPr>
      <w:bookmarkStart w:id="53" w:name="_heading=h.4bvk7pj" w:colFirst="0" w:colLast="0"/>
      <w:bookmarkEnd w:id="53"/>
      <w:r>
        <w:t>the Supplier System;</w:t>
      </w:r>
    </w:p>
    <w:p w:rsidR="005F4C24" w:rsidRDefault="004C2B0D">
      <w:pPr>
        <w:pStyle w:val="Heading4"/>
        <w:numPr>
          <w:ilvl w:val="3"/>
          <w:numId w:val="17"/>
        </w:numPr>
      </w:pPr>
      <w:r>
        <w:t>the Sites; and</w:t>
      </w:r>
    </w:p>
    <w:p w:rsidR="005F4C24" w:rsidRDefault="004C2B0D">
      <w:pPr>
        <w:pStyle w:val="Heading4"/>
        <w:numPr>
          <w:ilvl w:val="3"/>
          <w:numId w:val="17"/>
        </w:numPr>
      </w:pPr>
      <w:r>
        <w:t xml:space="preserve">the Authority System (to the extent that it is under the control of the Supplier); and </w:t>
      </w:r>
    </w:p>
    <w:p w:rsidR="005F4C24" w:rsidRDefault="004C2B0D">
      <w:pPr>
        <w:pStyle w:val="Heading4"/>
        <w:keepNext/>
        <w:numPr>
          <w:ilvl w:val="3"/>
          <w:numId w:val="17"/>
        </w:numPr>
      </w:pPr>
      <w:r>
        <w:t>any IT, Information and data (including the Confidential Information of the Authority and the Authority Data) to the extent used by the Authority or the Supplier:</w:t>
      </w:r>
    </w:p>
    <w:p w:rsidR="005F4C24" w:rsidRDefault="004C2B0D">
      <w:pPr>
        <w:pStyle w:val="Heading5"/>
        <w:numPr>
          <w:ilvl w:val="4"/>
          <w:numId w:val="17"/>
        </w:numPr>
      </w:pPr>
      <w:r>
        <w:t>in connection with this Contract or</w:t>
      </w:r>
    </w:p>
    <w:p w:rsidR="005F4C24" w:rsidRDefault="004C2B0D">
      <w:pPr>
        <w:pStyle w:val="Heading5"/>
        <w:numPr>
          <w:ilvl w:val="4"/>
          <w:numId w:val="17"/>
        </w:numPr>
      </w:pPr>
      <w:r>
        <w:t>in connection with any system that could directly or indirectly have an impact on that Information, data and/or the Services;</w:t>
      </w:r>
    </w:p>
    <w:p w:rsidR="005F4C24" w:rsidRDefault="004C2B0D">
      <w:pPr>
        <w:pStyle w:val="Heading3"/>
        <w:numPr>
          <w:ilvl w:val="2"/>
          <w:numId w:val="17"/>
        </w:numPr>
      </w:pPr>
      <w:r>
        <w:t>the Required Changes Register;</w:t>
      </w:r>
    </w:p>
    <w:p w:rsidR="005F4C24" w:rsidRDefault="004C2B0D">
      <w:pPr>
        <w:pStyle w:val="Heading3"/>
        <w:keepNext/>
        <w:numPr>
          <w:ilvl w:val="2"/>
          <w:numId w:val="17"/>
        </w:numPr>
      </w:pPr>
      <w:r>
        <w:t>evidence that the Supplier and each Sub-contractor (so far as those requirements apply) is compliant with:</w:t>
      </w:r>
    </w:p>
    <w:p w:rsidR="005F4C24" w:rsidRDefault="004C2B0D">
      <w:pPr>
        <w:pStyle w:val="Heading4"/>
        <w:numPr>
          <w:ilvl w:val="3"/>
          <w:numId w:val="17"/>
        </w:numPr>
      </w:pPr>
      <w:r>
        <w:t>the Certification Requirements;</w:t>
      </w:r>
    </w:p>
    <w:p w:rsidR="005F4C24" w:rsidRDefault="004C2B0D">
      <w:pPr>
        <w:pStyle w:val="Heading4"/>
        <w:numPr>
          <w:ilvl w:val="3"/>
          <w:numId w:val="17"/>
        </w:numPr>
      </w:pPr>
      <w:r>
        <w:t>the Security Requirements; and</w:t>
      </w:r>
    </w:p>
    <w:p w:rsidR="005F4C24" w:rsidRDefault="004C2B0D">
      <w:pPr>
        <w:pStyle w:val="Heading4"/>
        <w:numPr>
          <w:ilvl w:val="3"/>
          <w:numId w:val="17"/>
        </w:numPr>
      </w:pPr>
      <w:bookmarkStart w:id="54" w:name="_heading=h.2r0uhxc" w:colFirst="0" w:colLast="0"/>
      <w:bookmarkEnd w:id="54"/>
      <w:r>
        <w:t>where the relevant option in paragraph 1 (</w:t>
      </w:r>
      <w:r>
        <w:rPr>
          <w:i/>
        </w:rPr>
        <w:t>Authority Options</w:t>
      </w:r>
      <w:r>
        <w:t>) is selected, the Security Requirements for Development;</w:t>
      </w:r>
    </w:p>
    <w:p w:rsidR="005F4C24" w:rsidRDefault="004C2B0D">
      <w:pPr>
        <w:pStyle w:val="Heading3"/>
        <w:numPr>
          <w:ilvl w:val="2"/>
          <w:numId w:val="17"/>
        </w:numPr>
      </w:pPr>
      <w:r>
        <w:t>the diagram documenting the Supplier Information Management System, the Wider Information Management System and the boundary between them (created under paragraph 11);</w:t>
      </w:r>
    </w:p>
    <w:p w:rsidR="005F4C24" w:rsidRDefault="004C2B0D">
      <w:pPr>
        <w:pStyle w:val="Heading3"/>
        <w:numPr>
          <w:ilvl w:val="2"/>
          <w:numId w:val="17"/>
        </w:numPr>
      </w:pPr>
      <w:bookmarkStart w:id="55" w:name="_heading=h.1664s55" w:colFirst="0" w:colLast="0"/>
      <w:bookmarkEnd w:id="55"/>
      <w:r>
        <w:t>an assessment of the Supplier Information Management System against the requirements of this Schedule [x] (</w:t>
      </w:r>
      <w:r>
        <w:rPr>
          <w:i/>
        </w:rPr>
        <w:t>Security Management</w:t>
      </w:r>
      <w:r>
        <w:t xml:space="preserve">), including the Security </w:t>
      </w:r>
      <w:r>
        <w:lastRenderedPageBreak/>
        <w:t>Requirements and, where the relevant option in paragraph 1 (</w:t>
      </w:r>
      <w:r>
        <w:rPr>
          <w:i/>
        </w:rPr>
        <w:t>Authority Options</w:t>
      </w:r>
      <w:r>
        <w:t>) is selected, the Security Requirements for Development;</w:t>
      </w:r>
    </w:p>
    <w:p w:rsidR="005F4C24" w:rsidRDefault="004C2B0D">
      <w:pPr>
        <w:pStyle w:val="Heading3"/>
        <w:numPr>
          <w:ilvl w:val="2"/>
          <w:numId w:val="17"/>
        </w:numPr>
      </w:pPr>
      <w:r>
        <w:t>the process the Supplier will implement immediately after it becomes aware of a Breach of Security to restore normal operations as quickly as possible, minimising any adverse impact on the Authority Data, the Authority, the Services and/or users of the Services; and</w:t>
      </w:r>
    </w:p>
    <w:p w:rsidR="005F4C24" w:rsidRDefault="004C2B0D">
      <w:pPr>
        <w:pStyle w:val="Heading3"/>
        <w:keepNext/>
        <w:numPr>
          <w:ilvl w:val="2"/>
          <w:numId w:val="17"/>
        </w:numPr>
      </w:pPr>
      <w:bookmarkStart w:id="56" w:name="_heading=h.3q5sasy" w:colFirst="0" w:colLast="0"/>
      <w:bookmarkEnd w:id="56"/>
      <w:r>
        <w:t>the following information, so far as is applicable, in respect of each Sub-contractor:</w:t>
      </w:r>
    </w:p>
    <w:p w:rsidR="005F4C24" w:rsidRDefault="004C2B0D">
      <w:pPr>
        <w:pStyle w:val="Heading4"/>
        <w:keepNext/>
        <w:numPr>
          <w:ilvl w:val="3"/>
          <w:numId w:val="17"/>
        </w:numPr>
      </w:pPr>
      <w:r>
        <w:t>the Sub-contractor’s:</w:t>
      </w:r>
    </w:p>
    <w:p w:rsidR="005F4C24" w:rsidRDefault="004C2B0D">
      <w:pPr>
        <w:pStyle w:val="Heading5"/>
        <w:numPr>
          <w:ilvl w:val="4"/>
          <w:numId w:val="17"/>
        </w:numPr>
      </w:pPr>
      <w:r>
        <w:t>legal name;</w:t>
      </w:r>
    </w:p>
    <w:p w:rsidR="005F4C24" w:rsidRDefault="004C2B0D">
      <w:pPr>
        <w:pStyle w:val="Heading5"/>
        <w:numPr>
          <w:ilvl w:val="4"/>
          <w:numId w:val="17"/>
        </w:numPr>
      </w:pPr>
      <w:r>
        <w:t xml:space="preserve">trading name (if any); and </w:t>
      </w:r>
    </w:p>
    <w:p w:rsidR="005F4C24" w:rsidRDefault="004C2B0D">
      <w:pPr>
        <w:pStyle w:val="Heading5"/>
        <w:numPr>
          <w:ilvl w:val="4"/>
          <w:numId w:val="17"/>
        </w:numPr>
      </w:pPr>
      <w:r>
        <w:t>registration details (where the Sub-contractor is not an individual);</w:t>
      </w:r>
    </w:p>
    <w:p w:rsidR="005F4C24" w:rsidRDefault="004C2B0D">
      <w:pPr>
        <w:pStyle w:val="Heading4"/>
        <w:numPr>
          <w:ilvl w:val="3"/>
          <w:numId w:val="17"/>
        </w:numPr>
      </w:pPr>
      <w:r>
        <w:t>the Relevant Certifications held by the Sub-contractor;</w:t>
      </w:r>
    </w:p>
    <w:p w:rsidR="005F4C24" w:rsidRDefault="004C2B0D">
      <w:pPr>
        <w:pStyle w:val="Heading4"/>
        <w:numPr>
          <w:ilvl w:val="3"/>
          <w:numId w:val="17"/>
        </w:numPr>
      </w:pPr>
      <w:r>
        <w:t>the Sites used by the Sub-contractor;</w:t>
      </w:r>
    </w:p>
    <w:p w:rsidR="005F4C24" w:rsidRDefault="004C2B0D">
      <w:pPr>
        <w:pStyle w:val="Heading4"/>
        <w:numPr>
          <w:ilvl w:val="3"/>
          <w:numId w:val="17"/>
        </w:numPr>
      </w:pPr>
      <w:r>
        <w:t>the Services provided, or contributed to, by the Sub-contractor;</w:t>
      </w:r>
    </w:p>
    <w:p w:rsidR="005F4C24" w:rsidRDefault="004C2B0D">
      <w:pPr>
        <w:pStyle w:val="Heading4"/>
        <w:numPr>
          <w:ilvl w:val="3"/>
          <w:numId w:val="17"/>
        </w:numPr>
      </w:pPr>
      <w:r>
        <w:t>the access the Sub-contractor has to the Supplier Information Management System;</w:t>
      </w:r>
    </w:p>
    <w:p w:rsidR="005F4C24" w:rsidRDefault="004C2B0D">
      <w:pPr>
        <w:pStyle w:val="Heading4"/>
        <w:numPr>
          <w:ilvl w:val="3"/>
          <w:numId w:val="17"/>
        </w:numPr>
      </w:pPr>
      <w:r>
        <w:t>the Authority Data Processed by the Sub-contractor;</w:t>
      </w:r>
    </w:p>
    <w:p w:rsidR="005F4C24" w:rsidRDefault="004C2B0D">
      <w:pPr>
        <w:pStyle w:val="Heading4"/>
        <w:numPr>
          <w:ilvl w:val="3"/>
          <w:numId w:val="17"/>
        </w:numPr>
      </w:pPr>
      <w:r>
        <w:t>the Processing that the Sub-contractor will undertake in respect of the Authority Data; and</w:t>
      </w:r>
    </w:p>
    <w:p w:rsidR="005F4C24" w:rsidRDefault="004C2B0D">
      <w:pPr>
        <w:pStyle w:val="Heading4"/>
        <w:numPr>
          <w:ilvl w:val="3"/>
          <w:numId w:val="17"/>
        </w:numPr>
      </w:pPr>
      <w:r>
        <w:t>the measures the Sub-contractor has in place to comply with the requirements of this Schedule (</w:t>
      </w:r>
      <w:r>
        <w:rPr>
          <w:i/>
        </w:rPr>
        <w:t>Security Management</w:t>
      </w:r>
      <w:r>
        <w:t>);</w:t>
      </w:r>
    </w:p>
    <w:p w:rsidR="005F4C24" w:rsidRDefault="004C2B0D">
      <w:pPr>
        <w:pStyle w:val="Heading3"/>
        <w:numPr>
          <w:ilvl w:val="2"/>
          <w:numId w:val="17"/>
        </w:numPr>
      </w:pPr>
      <w:r>
        <w:t xml:space="preserve">the Register of Sites, Support Locations and </w:t>
      </w:r>
      <w:proofErr w:type="gramStart"/>
      <w:r>
        <w:t>Third Party</w:t>
      </w:r>
      <w:proofErr w:type="gramEnd"/>
      <w:r>
        <w:t xml:space="preserve"> Tools;</w:t>
      </w:r>
    </w:p>
    <w:p w:rsidR="005F4C24" w:rsidRDefault="004C2B0D">
      <w:pPr>
        <w:pStyle w:val="Heading3"/>
        <w:numPr>
          <w:ilvl w:val="2"/>
          <w:numId w:val="17"/>
        </w:numPr>
      </w:pPr>
      <w:r>
        <w:t>the Modules Register;</w:t>
      </w:r>
    </w:p>
    <w:p w:rsidR="005F4C24" w:rsidRDefault="004C2B0D">
      <w:pPr>
        <w:pStyle w:val="Heading3"/>
        <w:numPr>
          <w:ilvl w:val="2"/>
          <w:numId w:val="17"/>
        </w:numPr>
      </w:pPr>
      <w:r>
        <w:t>the Support Register; and</w:t>
      </w:r>
    </w:p>
    <w:p w:rsidR="005F4C24" w:rsidRDefault="004C2B0D">
      <w:pPr>
        <w:pStyle w:val="Heading3"/>
        <w:keepNext/>
        <w:numPr>
          <w:ilvl w:val="2"/>
          <w:numId w:val="17"/>
        </w:numPr>
      </w:pPr>
      <w:r>
        <w:t>details of the protective monitoring that the Supplier will undertake in accordance with paragraph 12 of the Security Requirements, including:</w:t>
      </w:r>
    </w:p>
    <w:p w:rsidR="005F4C24" w:rsidRDefault="004C2B0D">
      <w:pPr>
        <w:pStyle w:val="Heading4"/>
        <w:numPr>
          <w:ilvl w:val="3"/>
          <w:numId w:val="17"/>
        </w:numPr>
      </w:pPr>
      <w:r>
        <w:t>the additional audit and monitoring the Supplier will undertake of the Supplier Information Management System; and</w:t>
      </w:r>
    </w:p>
    <w:p w:rsidR="005F4C24" w:rsidRDefault="004C2B0D">
      <w:pPr>
        <w:pStyle w:val="Heading4"/>
        <w:numPr>
          <w:ilvl w:val="3"/>
          <w:numId w:val="17"/>
        </w:numPr>
      </w:pPr>
      <w:r>
        <w:t>the retention periods for audit records and event logs.</w:t>
      </w:r>
    </w:p>
    <w:p w:rsidR="005F4C24" w:rsidRDefault="004C2B0D">
      <w:pPr>
        <w:pStyle w:val="Heading1"/>
        <w:numPr>
          <w:ilvl w:val="0"/>
          <w:numId w:val="17"/>
        </w:numPr>
      </w:pPr>
      <w:bookmarkStart w:id="57" w:name="_heading=h.25b2l0r" w:colFirst="0" w:colLast="0"/>
      <w:bookmarkEnd w:id="57"/>
      <w:r>
        <w:t>Monitoring and updating Security Management Plan</w:t>
      </w:r>
    </w:p>
    <w:p w:rsidR="005F4C24" w:rsidRDefault="004C2B0D">
      <w:pPr>
        <w:keepNext/>
        <w:pBdr>
          <w:top w:val="nil"/>
          <w:left w:val="nil"/>
          <w:bottom w:val="nil"/>
          <w:right w:val="nil"/>
          <w:between w:val="nil"/>
        </w:pBdr>
        <w:ind w:left="720"/>
        <w:rPr>
          <w:b/>
          <w:color w:val="000000"/>
        </w:rPr>
      </w:pPr>
      <w:r>
        <w:rPr>
          <w:b/>
          <w:color w:val="000000"/>
        </w:rPr>
        <w:t>Updating Security Management Plan</w:t>
      </w:r>
    </w:p>
    <w:p w:rsidR="005F4C24" w:rsidRDefault="004C2B0D">
      <w:pPr>
        <w:pStyle w:val="Heading2"/>
        <w:numPr>
          <w:ilvl w:val="1"/>
          <w:numId w:val="17"/>
        </w:numPr>
      </w:pPr>
      <w:r>
        <w:t>The Supplier shall regularly review and update the Security Management Plan, and provide such to the Authority, at least once each year and as required by this paragraph.</w:t>
      </w:r>
    </w:p>
    <w:p w:rsidR="005F4C24" w:rsidRDefault="004C2B0D">
      <w:pPr>
        <w:keepNext/>
        <w:pBdr>
          <w:top w:val="nil"/>
          <w:left w:val="nil"/>
          <w:bottom w:val="nil"/>
          <w:right w:val="nil"/>
          <w:between w:val="nil"/>
        </w:pBdr>
        <w:ind w:left="720"/>
        <w:rPr>
          <w:b/>
          <w:color w:val="000000"/>
        </w:rPr>
      </w:pPr>
      <w:r>
        <w:rPr>
          <w:b/>
          <w:color w:val="000000"/>
        </w:rPr>
        <w:lastRenderedPageBreak/>
        <w:t>Monitoring</w:t>
      </w:r>
    </w:p>
    <w:p w:rsidR="005F4C24" w:rsidRDefault="004C2B0D">
      <w:pPr>
        <w:pStyle w:val="Heading2"/>
        <w:keepNext/>
        <w:numPr>
          <w:ilvl w:val="1"/>
          <w:numId w:val="17"/>
        </w:numPr>
      </w:pPr>
      <w:bookmarkStart w:id="58" w:name="_heading=h.kgcv8k" w:colFirst="0" w:colLast="0"/>
      <w:bookmarkEnd w:id="58"/>
      <w:r>
        <w:t>The Supplier, where it plans to undertake, or after becoming aware of, any of the following:</w:t>
      </w:r>
    </w:p>
    <w:p w:rsidR="005F4C24" w:rsidRDefault="004C2B0D">
      <w:pPr>
        <w:pStyle w:val="Heading3"/>
        <w:numPr>
          <w:ilvl w:val="2"/>
          <w:numId w:val="17"/>
        </w:numPr>
      </w:pPr>
      <w:bookmarkStart w:id="59" w:name="_heading=h.34g0dwd" w:colFirst="0" w:colLast="0"/>
      <w:bookmarkEnd w:id="59"/>
      <w:r>
        <w:t>a significant change to the components or architecture of the Supplier Information Management System;</w:t>
      </w:r>
    </w:p>
    <w:p w:rsidR="005F4C24" w:rsidRDefault="004C2B0D">
      <w:pPr>
        <w:pStyle w:val="Heading3"/>
        <w:numPr>
          <w:ilvl w:val="2"/>
          <w:numId w:val="17"/>
        </w:numPr>
      </w:pPr>
      <w:bookmarkStart w:id="60" w:name="_heading=h.1jlao46" w:colFirst="0" w:colLast="0"/>
      <w:bookmarkEnd w:id="60"/>
      <w:r>
        <w:t>a significant change in the boundary between the Supplier Information Management System and the Wider Information Management System;</w:t>
      </w:r>
    </w:p>
    <w:p w:rsidR="005F4C24" w:rsidRDefault="004C2B0D">
      <w:pPr>
        <w:pStyle w:val="Heading3"/>
        <w:numPr>
          <w:ilvl w:val="2"/>
          <w:numId w:val="17"/>
        </w:numPr>
      </w:pPr>
      <w:bookmarkStart w:id="61" w:name="_heading=h.43ky6rz" w:colFirst="0" w:colLast="0"/>
      <w:bookmarkEnd w:id="61"/>
      <w:r>
        <w:t>a significant change in the operation of the Supplier Information Management System;</w:t>
      </w:r>
    </w:p>
    <w:p w:rsidR="005F4C24" w:rsidRDefault="004C2B0D">
      <w:pPr>
        <w:pStyle w:val="Heading3"/>
        <w:numPr>
          <w:ilvl w:val="2"/>
          <w:numId w:val="17"/>
        </w:numPr>
      </w:pPr>
      <w:r>
        <w:t>the replacement of an existing, or the appointment of a new:</w:t>
      </w:r>
    </w:p>
    <w:p w:rsidR="005F4C24" w:rsidRDefault="004C2B0D">
      <w:pPr>
        <w:pStyle w:val="Heading4"/>
        <w:numPr>
          <w:ilvl w:val="3"/>
          <w:numId w:val="17"/>
        </w:numPr>
      </w:pPr>
      <w:r>
        <w:t>SIMS Sub-contractor; or</w:t>
      </w:r>
    </w:p>
    <w:p w:rsidR="005F4C24" w:rsidRDefault="004C2B0D">
      <w:pPr>
        <w:pStyle w:val="Heading4"/>
        <w:numPr>
          <w:ilvl w:val="3"/>
          <w:numId w:val="17"/>
        </w:numPr>
      </w:pPr>
      <w:r>
        <w:t>Sub-contractor that Processes Authority Data;</w:t>
      </w:r>
    </w:p>
    <w:p w:rsidR="005F4C24" w:rsidRDefault="004C2B0D">
      <w:pPr>
        <w:pStyle w:val="Heading3"/>
        <w:numPr>
          <w:ilvl w:val="2"/>
          <w:numId w:val="17"/>
        </w:numPr>
      </w:pPr>
      <w:r>
        <w:t>a significant change in the quantity of Personal Data held within the Service; and/or</w:t>
      </w:r>
    </w:p>
    <w:p w:rsidR="005F4C24" w:rsidRDefault="004C2B0D">
      <w:pPr>
        <w:pStyle w:val="Heading3"/>
        <w:numPr>
          <w:ilvl w:val="2"/>
          <w:numId w:val="17"/>
        </w:numPr>
      </w:pPr>
      <w:bookmarkStart w:id="62" w:name="_heading=h.2iq8gzs" w:colFirst="0" w:colLast="0"/>
      <w:bookmarkEnd w:id="62"/>
      <w:r>
        <w:t>where the Supplier or a Sub-contractor has previously Processed Authority Data that is Personal Data other than Special Category Personal Data, it proposes to start to Process Authority Data that is Special Category Personal Data under this Contract;</w:t>
      </w:r>
    </w:p>
    <w:p w:rsidR="005F4C24" w:rsidRDefault="004C2B0D">
      <w:pPr>
        <w:keepNext/>
        <w:numPr>
          <w:ilvl w:val="1"/>
          <w:numId w:val="37"/>
        </w:numPr>
        <w:pBdr>
          <w:top w:val="nil"/>
          <w:left w:val="nil"/>
          <w:bottom w:val="nil"/>
          <w:right w:val="nil"/>
          <w:between w:val="nil"/>
        </w:pBdr>
      </w:pPr>
      <w:r>
        <w:rPr>
          <w:color w:val="000000"/>
        </w:rPr>
        <w:t>must:</w:t>
      </w:r>
    </w:p>
    <w:p w:rsidR="005F4C24" w:rsidRDefault="004C2B0D">
      <w:pPr>
        <w:pStyle w:val="Heading4"/>
        <w:numPr>
          <w:ilvl w:val="3"/>
          <w:numId w:val="17"/>
        </w:numPr>
      </w:pPr>
      <w:r>
        <w:t xml:space="preserve">within 2 Working Days notify the Authority; and </w:t>
      </w:r>
    </w:p>
    <w:p w:rsidR="005F4C24" w:rsidRDefault="004C2B0D">
      <w:pPr>
        <w:pStyle w:val="Heading4"/>
        <w:keepNext/>
        <w:numPr>
          <w:ilvl w:val="3"/>
          <w:numId w:val="17"/>
        </w:numPr>
      </w:pPr>
      <w:bookmarkStart w:id="63" w:name="_heading=h.xvir7l" w:colFirst="0" w:colLast="0"/>
      <w:bookmarkEnd w:id="63"/>
      <w:r>
        <w:t>within 10 Working Days, or such other timescale as may be agreed with the Authority:</w:t>
      </w:r>
    </w:p>
    <w:p w:rsidR="005F4C24" w:rsidRDefault="004C2B0D">
      <w:pPr>
        <w:pStyle w:val="Heading5"/>
        <w:numPr>
          <w:ilvl w:val="4"/>
          <w:numId w:val="17"/>
        </w:numPr>
      </w:pPr>
      <w:r>
        <w:t>update the Required Changes Register and any other affected parts of the Security Management Plan; and</w:t>
      </w:r>
    </w:p>
    <w:p w:rsidR="005F4C24" w:rsidRDefault="004C2B0D">
      <w:pPr>
        <w:pStyle w:val="Heading5"/>
        <w:numPr>
          <w:ilvl w:val="4"/>
          <w:numId w:val="17"/>
        </w:numPr>
      </w:pPr>
      <w:r>
        <w:t>provide the Authority with a copy of those documents for review and approval.</w:t>
      </w:r>
    </w:p>
    <w:p w:rsidR="005F4C24" w:rsidRDefault="004C2B0D">
      <w:pPr>
        <w:pStyle w:val="Heading2"/>
        <w:numPr>
          <w:ilvl w:val="1"/>
          <w:numId w:val="17"/>
        </w:numPr>
      </w:pPr>
      <w:r>
        <w:t>paragraph 14.2 applies in addition to, and not in substitution of, the Parties’ obligations to comply with the Change Control Procedure for any Contract Change or Operational Change.</w:t>
      </w:r>
    </w:p>
    <w:p w:rsidR="005F4C24" w:rsidRDefault="004C2B0D">
      <w:pPr>
        <w:pStyle w:val="Heading2"/>
        <w:numPr>
          <w:ilvl w:val="1"/>
          <w:numId w:val="17"/>
        </w:numPr>
      </w:pPr>
      <w:r>
        <w:t>Any proposed change under paragraph 14.2(a), 14.2(b) or 14.2(f) is a Contract Change to which the Change Control Procedure applies.</w:t>
      </w:r>
    </w:p>
    <w:p w:rsidR="005F4C24" w:rsidRDefault="004C2B0D">
      <w:pPr>
        <w:pStyle w:val="Heading1"/>
        <w:numPr>
          <w:ilvl w:val="0"/>
          <w:numId w:val="17"/>
        </w:numPr>
      </w:pPr>
      <w:bookmarkStart w:id="64" w:name="_heading=h.3hv69ve" w:colFirst="0" w:colLast="0"/>
      <w:bookmarkEnd w:id="64"/>
      <w:r>
        <w:t>Review and approval of Security Management Plan</w:t>
      </w:r>
    </w:p>
    <w:p w:rsidR="005F4C24" w:rsidRDefault="004C2B0D">
      <w:pPr>
        <w:pStyle w:val="Heading2"/>
        <w:numPr>
          <w:ilvl w:val="1"/>
          <w:numId w:val="17"/>
        </w:numPr>
      </w:pPr>
      <w:r>
        <w:t>Where the Supplier has prepared or updated the Security Management Plan the Authority may review the plan and to do so may request such further information as the Authority considers necessary or desirable.</w:t>
      </w:r>
    </w:p>
    <w:p w:rsidR="005F4C24" w:rsidRDefault="004C2B0D">
      <w:pPr>
        <w:pStyle w:val="Heading2"/>
        <w:keepNext/>
        <w:numPr>
          <w:ilvl w:val="1"/>
          <w:numId w:val="17"/>
        </w:numPr>
      </w:pPr>
      <w:bookmarkStart w:id="65" w:name="_heading=h.1x0gk37" w:colFirst="0" w:colLast="0"/>
      <w:bookmarkEnd w:id="65"/>
      <w:r>
        <w:t>At the conclusion of that review, it may issue to the Supplier:</w:t>
      </w:r>
    </w:p>
    <w:p w:rsidR="005F4C24" w:rsidRDefault="004C2B0D">
      <w:pPr>
        <w:pStyle w:val="Heading3"/>
        <w:keepNext/>
        <w:numPr>
          <w:ilvl w:val="2"/>
          <w:numId w:val="17"/>
        </w:numPr>
      </w:pPr>
      <w:r>
        <w:t>where satisfied that the:</w:t>
      </w:r>
    </w:p>
    <w:p w:rsidR="005F4C24" w:rsidRDefault="004C2B0D">
      <w:pPr>
        <w:pStyle w:val="Heading4"/>
        <w:numPr>
          <w:ilvl w:val="3"/>
          <w:numId w:val="17"/>
        </w:numPr>
      </w:pPr>
      <w:r>
        <w:t xml:space="preserve">identified risks to the Supplier Information Management System are adequately and appropriately addressed; and </w:t>
      </w:r>
    </w:p>
    <w:p w:rsidR="005F4C24" w:rsidRDefault="004C2B0D">
      <w:pPr>
        <w:pStyle w:val="Heading4"/>
        <w:keepNext/>
        <w:numPr>
          <w:ilvl w:val="3"/>
          <w:numId w:val="17"/>
        </w:numPr>
      </w:pPr>
      <w:r>
        <w:lastRenderedPageBreak/>
        <w:t>that the residual risks are:</w:t>
      </w:r>
    </w:p>
    <w:p w:rsidR="005F4C24" w:rsidRDefault="004C2B0D">
      <w:pPr>
        <w:pStyle w:val="Heading5"/>
        <w:keepNext/>
        <w:numPr>
          <w:ilvl w:val="4"/>
          <w:numId w:val="17"/>
        </w:numPr>
      </w:pPr>
      <w:r>
        <w:t>either:</w:t>
      </w:r>
    </w:p>
    <w:p w:rsidR="005F4C24" w:rsidRDefault="004C2B0D">
      <w:pPr>
        <w:pStyle w:val="Heading6"/>
        <w:numPr>
          <w:ilvl w:val="5"/>
          <w:numId w:val="17"/>
        </w:numPr>
      </w:pPr>
      <w:r>
        <w:t>where the Authority has provided a Statement of Information Risk Appetite, reduced to the level anticipated by that statement; or</w:t>
      </w:r>
    </w:p>
    <w:p w:rsidR="005F4C24" w:rsidRDefault="004C2B0D">
      <w:pPr>
        <w:pStyle w:val="Heading6"/>
        <w:numPr>
          <w:ilvl w:val="5"/>
          <w:numId w:val="17"/>
        </w:numPr>
      </w:pPr>
      <w:r>
        <w:t>where the Authority has not provided a Statement of Information Risk Appetite, reduced to an acceptable level;</w:t>
      </w:r>
    </w:p>
    <w:p w:rsidR="005F4C24" w:rsidRDefault="004C2B0D">
      <w:pPr>
        <w:pStyle w:val="Heading5"/>
        <w:numPr>
          <w:ilvl w:val="4"/>
          <w:numId w:val="17"/>
        </w:numPr>
      </w:pPr>
      <w:r>
        <w:t>understood and accepted by the Authority; and</w:t>
      </w:r>
    </w:p>
    <w:p w:rsidR="005F4C24" w:rsidRDefault="004C2B0D">
      <w:pPr>
        <w:pStyle w:val="Heading5"/>
        <w:numPr>
          <w:ilvl w:val="4"/>
          <w:numId w:val="17"/>
        </w:numPr>
      </w:pPr>
      <w:r>
        <w:t>recorded in the Residual Risk Statement;</w:t>
      </w:r>
    </w:p>
    <w:p w:rsidR="005F4C24" w:rsidRDefault="004C2B0D">
      <w:pPr>
        <w:pBdr>
          <w:top w:val="nil"/>
          <w:left w:val="nil"/>
          <w:bottom w:val="nil"/>
          <w:right w:val="nil"/>
          <w:between w:val="nil"/>
        </w:pBdr>
        <w:ind w:left="1440"/>
        <w:rPr>
          <w:color w:val="000000"/>
        </w:rPr>
      </w:pPr>
      <w:r>
        <w:rPr>
          <w:color w:val="000000"/>
        </w:rPr>
        <w:t>a Risk Management Approval Statement; or</w:t>
      </w:r>
    </w:p>
    <w:p w:rsidR="005F4C24" w:rsidRDefault="004C2B0D">
      <w:pPr>
        <w:pStyle w:val="Heading3"/>
        <w:keepNext/>
        <w:numPr>
          <w:ilvl w:val="2"/>
          <w:numId w:val="17"/>
        </w:numPr>
      </w:pPr>
      <w:bookmarkStart w:id="66" w:name="_heading=h.4h042r0" w:colFirst="0" w:colLast="0"/>
      <w:bookmarkEnd w:id="66"/>
      <w:r>
        <w:t>where the Authority considers that:</w:t>
      </w:r>
    </w:p>
    <w:p w:rsidR="005F4C24" w:rsidRDefault="004C2B0D">
      <w:pPr>
        <w:pStyle w:val="Heading4"/>
        <w:numPr>
          <w:ilvl w:val="3"/>
          <w:numId w:val="17"/>
        </w:numPr>
      </w:pPr>
      <w:r>
        <w:t>the identified risks to the Supplier Information Management System have not been adequately or appropriately addressed; or</w:t>
      </w:r>
    </w:p>
    <w:p w:rsidR="005F4C24" w:rsidRDefault="004C2B0D">
      <w:pPr>
        <w:pStyle w:val="Heading4"/>
        <w:keepNext/>
        <w:numPr>
          <w:ilvl w:val="3"/>
          <w:numId w:val="17"/>
        </w:numPr>
      </w:pPr>
      <w:r>
        <w:t>the residual risks to the Supplier Information Management System have not been reduced:</w:t>
      </w:r>
    </w:p>
    <w:p w:rsidR="005F4C24" w:rsidRDefault="004C2B0D">
      <w:pPr>
        <w:pStyle w:val="Heading5"/>
        <w:numPr>
          <w:ilvl w:val="4"/>
          <w:numId w:val="17"/>
        </w:numPr>
      </w:pPr>
      <w:r>
        <w:t>where the Authority has Provided a Statement of Information Risk Appetite, to the level anticipated by that statement; or</w:t>
      </w:r>
    </w:p>
    <w:p w:rsidR="005F4C24" w:rsidRDefault="004C2B0D">
      <w:pPr>
        <w:pStyle w:val="Heading5"/>
        <w:numPr>
          <w:ilvl w:val="4"/>
          <w:numId w:val="17"/>
        </w:numPr>
      </w:pPr>
      <w:r>
        <w:t>where the Authority has not Provided a Statement of Information Risk Appetite, to an acceptable level,</w:t>
      </w:r>
    </w:p>
    <w:p w:rsidR="005F4C24" w:rsidRDefault="004C2B0D">
      <w:pPr>
        <w:pBdr>
          <w:top w:val="nil"/>
          <w:left w:val="nil"/>
          <w:bottom w:val="nil"/>
          <w:right w:val="nil"/>
          <w:between w:val="nil"/>
        </w:pBdr>
        <w:ind w:left="1440"/>
        <w:rPr>
          <w:color w:val="000000"/>
        </w:rPr>
      </w:pPr>
      <w:r>
        <w:rPr>
          <w:color w:val="000000"/>
        </w:rPr>
        <w:t>a Risk Management Rejection Notice, with the reasons for its decision.</w:t>
      </w:r>
    </w:p>
    <w:p w:rsidR="005F4C24" w:rsidRDefault="004C2B0D">
      <w:pPr>
        <w:pStyle w:val="Heading1"/>
        <w:numPr>
          <w:ilvl w:val="0"/>
          <w:numId w:val="17"/>
        </w:numPr>
      </w:pPr>
      <w:bookmarkStart w:id="67" w:name="_heading=h.2w5ecyt" w:colFirst="0" w:colLast="0"/>
      <w:bookmarkEnd w:id="67"/>
      <w:r>
        <w:t>Changes to the Supplier Information Management System</w:t>
      </w:r>
    </w:p>
    <w:p w:rsidR="005F4C24" w:rsidRDefault="004C2B0D">
      <w:pPr>
        <w:pStyle w:val="Heading2"/>
        <w:keepNext/>
        <w:numPr>
          <w:ilvl w:val="1"/>
          <w:numId w:val="17"/>
        </w:numPr>
      </w:pPr>
      <w:bookmarkStart w:id="68" w:name="_heading=h.1baon6m" w:colFirst="0" w:colLast="0"/>
      <w:bookmarkEnd w:id="68"/>
      <w:r>
        <w:t>Notwithstanding anything in this Contract, the Supplier must obtain the approval of the Authority before making any of the following changes to the Supplier Information Management System:</w:t>
      </w:r>
    </w:p>
    <w:p w:rsidR="005F4C24" w:rsidRDefault="004C2B0D">
      <w:pPr>
        <w:pStyle w:val="Heading3"/>
        <w:numPr>
          <w:ilvl w:val="2"/>
          <w:numId w:val="17"/>
        </w:numPr>
      </w:pPr>
      <w:r>
        <w:t>a significant change in the systems or components making up the Supplier Information Management System;</w:t>
      </w:r>
    </w:p>
    <w:p w:rsidR="005F4C24" w:rsidRDefault="004C2B0D">
      <w:pPr>
        <w:pStyle w:val="Heading3"/>
        <w:numPr>
          <w:ilvl w:val="2"/>
          <w:numId w:val="17"/>
        </w:numPr>
      </w:pPr>
      <w:r>
        <w:t>a significant change in the operation or management of the Supplier Information Management System; or</w:t>
      </w:r>
    </w:p>
    <w:p w:rsidR="005F4C24" w:rsidRDefault="004C2B0D">
      <w:pPr>
        <w:pStyle w:val="Heading3"/>
        <w:keepNext/>
        <w:numPr>
          <w:ilvl w:val="2"/>
          <w:numId w:val="17"/>
        </w:numPr>
      </w:pPr>
      <w:r>
        <w:t>the appointment of a new, or the replacement of an existing:</w:t>
      </w:r>
    </w:p>
    <w:p w:rsidR="005F4C24" w:rsidRDefault="004C2B0D">
      <w:pPr>
        <w:pStyle w:val="Heading4"/>
        <w:numPr>
          <w:ilvl w:val="3"/>
          <w:numId w:val="17"/>
        </w:numPr>
      </w:pPr>
      <w:r>
        <w:t>SIMS Sub-contractor; or</w:t>
      </w:r>
    </w:p>
    <w:p w:rsidR="005F4C24" w:rsidRDefault="004C2B0D">
      <w:pPr>
        <w:pStyle w:val="Heading4"/>
        <w:numPr>
          <w:ilvl w:val="3"/>
          <w:numId w:val="17"/>
        </w:numPr>
      </w:pPr>
      <w:r>
        <w:t>Sub-contractor that Processes Authority Data.</w:t>
      </w:r>
    </w:p>
    <w:p w:rsidR="005F4C24" w:rsidRDefault="004C2B0D">
      <w:pPr>
        <w:pStyle w:val="Heading2"/>
        <w:keepNext/>
        <w:numPr>
          <w:ilvl w:val="1"/>
          <w:numId w:val="17"/>
        </w:numPr>
      </w:pPr>
      <w:r>
        <w:t xml:space="preserve">In seeking the Authority’s approval to a </w:t>
      </w:r>
      <w:proofErr w:type="gramStart"/>
      <w:r>
        <w:t>proposed changes</w:t>
      </w:r>
      <w:proofErr w:type="gramEnd"/>
      <w:r>
        <w:t xml:space="preserve"> to the Supplier Information Management System, the Supplier must:</w:t>
      </w:r>
    </w:p>
    <w:p w:rsidR="005F4C24" w:rsidRDefault="004C2B0D">
      <w:pPr>
        <w:pStyle w:val="Heading3"/>
        <w:numPr>
          <w:ilvl w:val="2"/>
          <w:numId w:val="17"/>
        </w:numPr>
      </w:pPr>
      <w:r>
        <w:t>update the Required Changes Register;</w:t>
      </w:r>
    </w:p>
    <w:p w:rsidR="005F4C24" w:rsidRDefault="004C2B0D">
      <w:pPr>
        <w:pStyle w:val="Heading3"/>
        <w:keepNext/>
        <w:numPr>
          <w:ilvl w:val="2"/>
          <w:numId w:val="17"/>
        </w:numPr>
      </w:pPr>
      <w:r>
        <w:lastRenderedPageBreak/>
        <w:t>prepare a proposal for the Authority setting out:</w:t>
      </w:r>
    </w:p>
    <w:p w:rsidR="005F4C24" w:rsidRDefault="004C2B0D">
      <w:pPr>
        <w:pStyle w:val="Heading4"/>
        <w:numPr>
          <w:ilvl w:val="3"/>
          <w:numId w:val="17"/>
        </w:numPr>
      </w:pPr>
      <w:r>
        <w:t>details of the proposed changes to the Supplier Information Management System;</w:t>
      </w:r>
    </w:p>
    <w:p w:rsidR="005F4C24" w:rsidRDefault="004C2B0D">
      <w:pPr>
        <w:pStyle w:val="Heading4"/>
        <w:numPr>
          <w:ilvl w:val="3"/>
          <w:numId w:val="17"/>
        </w:numPr>
      </w:pPr>
      <w:r>
        <w:t>an assessment of the security implications of the proposed change;</w:t>
      </w:r>
    </w:p>
    <w:p w:rsidR="005F4C24" w:rsidRDefault="004C2B0D">
      <w:pPr>
        <w:pStyle w:val="Heading4"/>
        <w:numPr>
          <w:ilvl w:val="3"/>
          <w:numId w:val="17"/>
        </w:numPr>
      </w:pPr>
      <w:r>
        <w:t>a risk assessment of the proposed change; and</w:t>
      </w:r>
    </w:p>
    <w:p w:rsidR="005F4C24" w:rsidRDefault="004C2B0D">
      <w:pPr>
        <w:pStyle w:val="Heading4"/>
        <w:numPr>
          <w:ilvl w:val="3"/>
          <w:numId w:val="17"/>
        </w:numPr>
      </w:pPr>
      <w:r>
        <w:t>any proposed changes to the Security Management Plan; and</w:t>
      </w:r>
    </w:p>
    <w:p w:rsidR="005F4C24" w:rsidRDefault="004C2B0D">
      <w:pPr>
        <w:pStyle w:val="Heading3"/>
        <w:numPr>
          <w:ilvl w:val="2"/>
          <w:numId w:val="17"/>
        </w:numPr>
      </w:pPr>
      <w:r>
        <w:t>provide that paper to the Authority no later than 30 Working Days before the date on which the Supplier proposes to implement those changes.</w:t>
      </w:r>
    </w:p>
    <w:p w:rsidR="005F4C24" w:rsidRDefault="004C2B0D">
      <w:pPr>
        <w:pStyle w:val="Heading2"/>
        <w:keepNext/>
        <w:numPr>
          <w:ilvl w:val="1"/>
          <w:numId w:val="17"/>
        </w:numPr>
      </w:pPr>
      <w:bookmarkStart w:id="69" w:name="_heading=h.3vac5uf" w:colFirst="0" w:colLast="0"/>
      <w:bookmarkEnd w:id="69"/>
      <w:r>
        <w:t>The Authority:</w:t>
      </w:r>
    </w:p>
    <w:p w:rsidR="005F4C24" w:rsidRDefault="004C2B0D">
      <w:pPr>
        <w:pStyle w:val="Heading3"/>
        <w:numPr>
          <w:ilvl w:val="2"/>
          <w:numId w:val="17"/>
        </w:numPr>
      </w:pPr>
      <w:r>
        <w:t>may request such further information as the Authority considers necessary or desirable;</w:t>
      </w:r>
    </w:p>
    <w:p w:rsidR="005F4C24" w:rsidRDefault="004C2B0D">
      <w:pPr>
        <w:pStyle w:val="Heading3"/>
        <w:keepNext/>
        <w:numPr>
          <w:ilvl w:val="2"/>
          <w:numId w:val="17"/>
        </w:numPr>
      </w:pPr>
      <w:bookmarkStart w:id="70" w:name="_heading=h.2afmg28" w:colFirst="0" w:colLast="0"/>
      <w:bookmarkEnd w:id="70"/>
      <w:r>
        <w:t>must provide its decision within 20 Working Days of the later of:</w:t>
      </w:r>
    </w:p>
    <w:p w:rsidR="005F4C24" w:rsidRDefault="004C2B0D">
      <w:pPr>
        <w:pStyle w:val="Heading4"/>
        <w:numPr>
          <w:ilvl w:val="3"/>
          <w:numId w:val="17"/>
        </w:numPr>
      </w:pPr>
      <w:r>
        <w:t>the date on which it receives the proposal; or</w:t>
      </w:r>
    </w:p>
    <w:p w:rsidR="005F4C24" w:rsidRDefault="004C2B0D">
      <w:pPr>
        <w:pStyle w:val="Heading4"/>
        <w:numPr>
          <w:ilvl w:val="3"/>
          <w:numId w:val="17"/>
        </w:numPr>
      </w:pPr>
      <w:r>
        <w:t>the date on which it receives any requested further information;</w:t>
      </w:r>
    </w:p>
    <w:p w:rsidR="005F4C24" w:rsidRDefault="004C2B0D">
      <w:pPr>
        <w:pStyle w:val="Heading3"/>
        <w:keepNext/>
        <w:numPr>
          <w:ilvl w:val="2"/>
          <w:numId w:val="17"/>
        </w:numPr>
      </w:pPr>
      <w:r>
        <w:t>must not:</w:t>
      </w:r>
    </w:p>
    <w:p w:rsidR="005F4C24" w:rsidRDefault="004C2B0D">
      <w:pPr>
        <w:pStyle w:val="Heading4"/>
        <w:numPr>
          <w:ilvl w:val="3"/>
          <w:numId w:val="17"/>
        </w:numPr>
      </w:pPr>
      <w:r>
        <w:t>unreasonably refuse any proposal by the Supplier; and</w:t>
      </w:r>
    </w:p>
    <w:p w:rsidR="005F4C24" w:rsidRDefault="004C2B0D">
      <w:pPr>
        <w:pStyle w:val="Heading4"/>
        <w:numPr>
          <w:ilvl w:val="3"/>
          <w:numId w:val="17"/>
        </w:numPr>
      </w:pPr>
      <w:r>
        <w:t>must not make any approval subject to unreasonable conditions.</w:t>
      </w:r>
    </w:p>
    <w:p w:rsidR="005F4C24" w:rsidRDefault="004C2B0D">
      <w:pPr>
        <w:pStyle w:val="Heading2"/>
        <w:numPr>
          <w:ilvl w:val="1"/>
          <w:numId w:val="17"/>
        </w:numPr>
      </w:pPr>
      <w:r>
        <w:t>If the Authority does not provide a decision within the period specified in paragraph 16.3(b), the proposal shall be deemed to have been accepted.</w:t>
      </w:r>
    </w:p>
    <w:p w:rsidR="005F4C24" w:rsidRDefault="004C2B0D">
      <w:pPr>
        <w:keepNext/>
        <w:pBdr>
          <w:top w:val="nil"/>
          <w:left w:val="nil"/>
          <w:bottom w:val="nil"/>
          <w:right w:val="nil"/>
          <w:between w:val="nil"/>
        </w:pBdr>
        <w:ind w:left="720"/>
        <w:rPr>
          <w:b/>
          <w:color w:val="000000"/>
        </w:rPr>
      </w:pPr>
      <w:r>
        <w:rPr>
          <w:b/>
          <w:color w:val="000000"/>
        </w:rPr>
        <w:t>Implementation of changes</w:t>
      </w:r>
    </w:p>
    <w:p w:rsidR="005F4C24" w:rsidRDefault="004C2B0D">
      <w:pPr>
        <w:pStyle w:val="Heading2"/>
        <w:numPr>
          <w:ilvl w:val="1"/>
          <w:numId w:val="17"/>
        </w:numPr>
      </w:pPr>
      <w:r>
        <w:t xml:space="preserve">Where the Supplier implements a necessary change to the Supplier Information Management System to address a security related risk or vulnerability, the Supplier shall effect such change at its own cost and expense. </w:t>
      </w:r>
    </w:p>
    <w:p w:rsidR="005F4C24" w:rsidRDefault="004C2B0D">
      <w:pPr>
        <w:pStyle w:val="Heading2"/>
        <w:keepNext/>
        <w:numPr>
          <w:ilvl w:val="1"/>
          <w:numId w:val="17"/>
        </w:numPr>
      </w:pPr>
      <w:r>
        <w:t>If the Supplier does not implement a necessary change to the Supplier Information Management System to address a security related risk or vulnerability:</w:t>
      </w:r>
    </w:p>
    <w:p w:rsidR="005F4C24" w:rsidRDefault="004C2B0D">
      <w:pPr>
        <w:pStyle w:val="Heading3"/>
        <w:numPr>
          <w:ilvl w:val="2"/>
          <w:numId w:val="17"/>
        </w:numPr>
      </w:pPr>
      <w:r>
        <w:t>that failure is a material Default; and</w:t>
      </w:r>
    </w:p>
    <w:p w:rsidR="005F4C24" w:rsidRDefault="004C2B0D">
      <w:pPr>
        <w:pStyle w:val="Heading3"/>
        <w:keepNext/>
        <w:numPr>
          <w:ilvl w:val="2"/>
          <w:numId w:val="17"/>
        </w:numPr>
      </w:pPr>
      <w:r>
        <w:t xml:space="preserve">the Supplier shall: </w:t>
      </w:r>
    </w:p>
    <w:p w:rsidR="005F4C24" w:rsidRDefault="004C2B0D">
      <w:pPr>
        <w:pStyle w:val="Heading4"/>
        <w:keepNext/>
        <w:numPr>
          <w:ilvl w:val="3"/>
          <w:numId w:val="17"/>
        </w:numPr>
      </w:pPr>
      <w:r>
        <w:t>immediately cease using the Supplier Information Management System to Process Authority Data either:</w:t>
      </w:r>
    </w:p>
    <w:p w:rsidR="005F4C24" w:rsidRDefault="004C2B0D">
      <w:pPr>
        <w:pStyle w:val="Heading5"/>
        <w:numPr>
          <w:ilvl w:val="4"/>
          <w:numId w:val="17"/>
        </w:numPr>
      </w:pPr>
      <w:r>
        <w:t>until the Default is remedied, or</w:t>
      </w:r>
    </w:p>
    <w:p w:rsidR="005F4C24" w:rsidRDefault="004C2B0D">
      <w:pPr>
        <w:pStyle w:val="Heading5"/>
        <w:numPr>
          <w:ilvl w:val="4"/>
          <w:numId w:val="17"/>
        </w:numPr>
      </w:pPr>
      <w:r>
        <w:t>unless directed otherwise by the Authority in writing and then only in accordance with the Authority's written directions; and</w:t>
      </w:r>
    </w:p>
    <w:p w:rsidR="005F4C24" w:rsidRDefault="004C2B0D">
      <w:pPr>
        <w:pStyle w:val="Heading4"/>
        <w:numPr>
          <w:ilvl w:val="3"/>
          <w:numId w:val="17"/>
        </w:numPr>
      </w:pPr>
      <w:bookmarkStart w:id="71" w:name="_heading=h.pkwqa1" w:colFirst="0" w:colLast="0"/>
      <w:bookmarkEnd w:id="71"/>
      <w:r>
        <w:t xml:space="preserve">where such material Default is capable of remedy, remedy such material Default within the timescales set by the Authority (considering the security </w:t>
      </w:r>
      <w:r>
        <w:lastRenderedPageBreak/>
        <w:t>risks the material Default presents to the Services and/or the Supplier Information Management System).</w:t>
      </w:r>
    </w:p>
    <w:p w:rsidR="005F4C24" w:rsidRDefault="004C2B0D">
      <w:pPr>
        <w:pStyle w:val="Heading1"/>
        <w:numPr>
          <w:ilvl w:val="0"/>
          <w:numId w:val="17"/>
        </w:numPr>
      </w:pPr>
      <w:bookmarkStart w:id="72" w:name="_heading=h.39kk8xu" w:colFirst="0" w:colLast="0"/>
      <w:bookmarkEnd w:id="72"/>
      <w:r>
        <w:t>Remediation Action Plan</w:t>
      </w:r>
    </w:p>
    <w:p w:rsidR="005F4C24" w:rsidRDefault="004C2B0D">
      <w:pPr>
        <w:keepNext/>
        <w:pBdr>
          <w:top w:val="nil"/>
          <w:left w:val="nil"/>
          <w:bottom w:val="nil"/>
          <w:right w:val="nil"/>
          <w:between w:val="nil"/>
        </w:pBdr>
        <w:ind w:left="720"/>
        <w:rPr>
          <w:b/>
          <w:color w:val="000000"/>
        </w:rPr>
      </w:pPr>
      <w:r>
        <w:rPr>
          <w:b/>
          <w:color w:val="000000"/>
        </w:rPr>
        <w:t>Preparation of Remediation Action Plan</w:t>
      </w:r>
    </w:p>
    <w:p w:rsidR="005F4C24" w:rsidRDefault="004C2B0D">
      <w:pPr>
        <w:pStyle w:val="Heading2"/>
        <w:keepNext/>
        <w:numPr>
          <w:ilvl w:val="1"/>
          <w:numId w:val="17"/>
        </w:numPr>
      </w:pPr>
      <w:bookmarkStart w:id="73" w:name="_heading=h.1opuj5n" w:colFirst="0" w:colLast="0"/>
      <w:bookmarkEnd w:id="73"/>
      <w:r>
        <w:t>This paragraph 17 applies when:</w:t>
      </w:r>
    </w:p>
    <w:p w:rsidR="005F4C24" w:rsidRDefault="004C2B0D">
      <w:pPr>
        <w:pStyle w:val="Heading3"/>
        <w:numPr>
          <w:ilvl w:val="2"/>
          <w:numId w:val="17"/>
        </w:numPr>
      </w:pPr>
      <w:r>
        <w:t xml:space="preserve">Key Sub-contractor Default occurs; </w:t>
      </w:r>
    </w:p>
    <w:p w:rsidR="005F4C24" w:rsidRDefault="004C2B0D">
      <w:pPr>
        <w:pStyle w:val="Heading3"/>
        <w:numPr>
          <w:ilvl w:val="2"/>
          <w:numId w:val="17"/>
        </w:numPr>
      </w:pPr>
      <w:r>
        <w:t>the Authority issues a Risk Management Rejection Notice; or</w:t>
      </w:r>
    </w:p>
    <w:p w:rsidR="005F4C24" w:rsidRDefault="004C2B0D">
      <w:pPr>
        <w:pStyle w:val="Heading3"/>
        <w:numPr>
          <w:ilvl w:val="2"/>
          <w:numId w:val="17"/>
        </w:numPr>
      </w:pPr>
      <w:r>
        <w:t>the Supplier receives a Security Test report identifies vulnerabilities in, or makes findings in respect of, the Supplier Information Management System,</w:t>
      </w:r>
    </w:p>
    <w:p w:rsidR="005F4C24" w:rsidRDefault="004C2B0D">
      <w:pPr>
        <w:numPr>
          <w:ilvl w:val="1"/>
          <w:numId w:val="37"/>
        </w:numPr>
        <w:pBdr>
          <w:top w:val="nil"/>
          <w:left w:val="nil"/>
          <w:bottom w:val="nil"/>
          <w:right w:val="nil"/>
          <w:between w:val="nil"/>
        </w:pBdr>
      </w:pPr>
      <w:r>
        <w:rPr>
          <w:color w:val="000000"/>
        </w:rPr>
        <w:t xml:space="preserve">(each a </w:t>
      </w:r>
      <w:r>
        <w:rPr>
          <w:b/>
          <w:color w:val="000000"/>
        </w:rPr>
        <w:t>RAP Trigger</w:t>
      </w:r>
      <w:r>
        <w:rPr>
          <w:color w:val="000000"/>
        </w:rPr>
        <w:t>).</w:t>
      </w:r>
    </w:p>
    <w:p w:rsidR="005F4C24" w:rsidRDefault="004C2B0D">
      <w:pPr>
        <w:pStyle w:val="Heading2"/>
        <w:numPr>
          <w:ilvl w:val="1"/>
          <w:numId w:val="17"/>
        </w:numPr>
      </w:pPr>
      <w:r>
        <w:t>The Supplier must within 15 Working Days of the occurrence of a RAP Trigger prepare and submit for approval to the Authority a draft plan (</w:t>
      </w:r>
      <w:r>
        <w:rPr>
          <w:b/>
        </w:rPr>
        <w:t>Remediation Action Plan</w:t>
      </w:r>
      <w:r>
        <w:t>).</w:t>
      </w:r>
    </w:p>
    <w:p w:rsidR="005F4C24" w:rsidRDefault="004C2B0D">
      <w:pPr>
        <w:pStyle w:val="Heading2"/>
        <w:keepNext/>
        <w:numPr>
          <w:ilvl w:val="1"/>
          <w:numId w:val="17"/>
        </w:numPr>
      </w:pPr>
      <w:r>
        <w:t>The Remediation Action Plan must, in respect of each issue raised by the RAP Trigger, set out:</w:t>
      </w:r>
    </w:p>
    <w:p w:rsidR="005F4C24" w:rsidRDefault="004C2B0D">
      <w:pPr>
        <w:pStyle w:val="Heading3"/>
        <w:numPr>
          <w:ilvl w:val="2"/>
          <w:numId w:val="17"/>
        </w:numPr>
      </w:pPr>
      <w:r>
        <w:t>full details of that issue;</w:t>
      </w:r>
    </w:p>
    <w:p w:rsidR="005F4C24" w:rsidRDefault="004C2B0D">
      <w:pPr>
        <w:pStyle w:val="Heading3"/>
        <w:numPr>
          <w:ilvl w:val="2"/>
          <w:numId w:val="17"/>
        </w:numPr>
      </w:pPr>
      <w:r>
        <w:t>the actual or anticipated effect of that issue;</w:t>
      </w:r>
    </w:p>
    <w:p w:rsidR="005F4C24" w:rsidRDefault="004C2B0D">
      <w:pPr>
        <w:pStyle w:val="Heading3"/>
        <w:numPr>
          <w:ilvl w:val="2"/>
          <w:numId w:val="17"/>
        </w:numPr>
      </w:pPr>
      <w:r>
        <w:t>how the issue will be remedied;</w:t>
      </w:r>
    </w:p>
    <w:p w:rsidR="005F4C24" w:rsidRDefault="004C2B0D">
      <w:pPr>
        <w:pStyle w:val="Heading3"/>
        <w:numPr>
          <w:ilvl w:val="2"/>
          <w:numId w:val="17"/>
        </w:numPr>
      </w:pPr>
      <w:r>
        <w:t>the date by which the issue will be remedied; and</w:t>
      </w:r>
    </w:p>
    <w:p w:rsidR="005F4C24" w:rsidRDefault="004C2B0D">
      <w:pPr>
        <w:pStyle w:val="Heading3"/>
        <w:numPr>
          <w:ilvl w:val="2"/>
          <w:numId w:val="17"/>
        </w:numPr>
      </w:pPr>
      <w:r>
        <w:t>the tests that the Supplier proposes to perform to confirm that the issue has been remedied.</w:t>
      </w:r>
    </w:p>
    <w:p w:rsidR="005F4C24" w:rsidRDefault="004C2B0D">
      <w:pPr>
        <w:keepNext/>
        <w:pBdr>
          <w:top w:val="nil"/>
          <w:left w:val="nil"/>
          <w:bottom w:val="nil"/>
          <w:right w:val="nil"/>
          <w:between w:val="nil"/>
        </w:pBdr>
        <w:ind w:left="720"/>
        <w:rPr>
          <w:b/>
          <w:color w:val="000000"/>
        </w:rPr>
      </w:pPr>
      <w:r>
        <w:rPr>
          <w:b/>
          <w:color w:val="000000"/>
        </w:rPr>
        <w:t>Consideration of Remediation Action Plan</w:t>
      </w:r>
    </w:p>
    <w:p w:rsidR="005F4C24" w:rsidRDefault="004C2B0D">
      <w:pPr>
        <w:pStyle w:val="Heading2"/>
        <w:keepNext/>
        <w:numPr>
          <w:ilvl w:val="1"/>
          <w:numId w:val="17"/>
        </w:numPr>
      </w:pPr>
      <w:r>
        <w:t>The Supplier must</w:t>
      </w:r>
    </w:p>
    <w:p w:rsidR="005F4C24" w:rsidRDefault="004C2B0D">
      <w:pPr>
        <w:pStyle w:val="Heading3"/>
        <w:numPr>
          <w:ilvl w:val="2"/>
          <w:numId w:val="17"/>
        </w:numPr>
      </w:pPr>
      <w:r>
        <w:t xml:space="preserve">provide the Authority with a copy of any Remediation Action Plan it prepares; </w:t>
      </w:r>
    </w:p>
    <w:p w:rsidR="005F4C24" w:rsidRDefault="004C2B0D">
      <w:pPr>
        <w:pStyle w:val="Heading3"/>
        <w:numPr>
          <w:ilvl w:val="2"/>
          <w:numId w:val="17"/>
        </w:numPr>
      </w:pPr>
      <w:r>
        <w:t>have regarded to any comments the Authority provides in respect of the Remediation Action Plan; and</w:t>
      </w:r>
    </w:p>
    <w:p w:rsidR="005F4C24" w:rsidRDefault="004C2B0D">
      <w:pPr>
        <w:pStyle w:val="Heading3"/>
        <w:numPr>
          <w:ilvl w:val="2"/>
          <w:numId w:val="17"/>
        </w:numPr>
      </w:pPr>
      <w:r>
        <w:t>fully implement the Remediation Action Plan according to its terms.</w:t>
      </w:r>
    </w:p>
    <w:p w:rsidR="005F4C24" w:rsidRDefault="004C2B0D">
      <w:pPr>
        <w:keepNext/>
        <w:pBdr>
          <w:top w:val="nil"/>
          <w:left w:val="nil"/>
          <w:bottom w:val="nil"/>
          <w:right w:val="nil"/>
          <w:between w:val="nil"/>
        </w:pBdr>
        <w:ind w:left="720"/>
        <w:rPr>
          <w:b/>
          <w:color w:val="000000"/>
        </w:rPr>
      </w:pPr>
      <w:r>
        <w:rPr>
          <w:b/>
          <w:color w:val="000000"/>
        </w:rPr>
        <w:t>Implementing a Remediation Action Plan</w:t>
      </w:r>
    </w:p>
    <w:p w:rsidR="005F4C24" w:rsidRDefault="004C2B0D">
      <w:pPr>
        <w:pStyle w:val="Heading2"/>
        <w:numPr>
          <w:ilvl w:val="1"/>
          <w:numId w:val="17"/>
        </w:numPr>
      </w:pPr>
      <w:r>
        <w:t>In implementing the Remediation Action Plan, the Supplier must conduct such further tests on the Supplier Information Management System as are required by the Remediation Action Plan to confirm that the Remediation Action Plan has been fully and correctly implemented.</w:t>
      </w:r>
    </w:p>
    <w:p w:rsidR="005F4C24" w:rsidRDefault="004C2B0D">
      <w:pPr>
        <w:pStyle w:val="Heading2"/>
        <w:keepNext/>
        <w:numPr>
          <w:ilvl w:val="1"/>
          <w:numId w:val="17"/>
        </w:numPr>
      </w:pPr>
      <w:r>
        <w:t xml:space="preserve">If any such testing identifies a new risk, new threat, vulnerability or exploitation technique with the potential to affect the security of the Supplier Information Management System, the </w:t>
      </w:r>
      <w:r>
        <w:lastRenderedPageBreak/>
        <w:t>Supplier shall within two Working Days of becoming aware of such risk, threat, vulnerability or exploitation technique:</w:t>
      </w:r>
    </w:p>
    <w:p w:rsidR="005F4C24" w:rsidRDefault="004C2B0D">
      <w:pPr>
        <w:pStyle w:val="Heading3"/>
        <w:numPr>
          <w:ilvl w:val="2"/>
          <w:numId w:val="17"/>
        </w:numPr>
      </w:pPr>
      <w:r>
        <w:t>provide the Authority with a full, unedited and unredacted copy of the test report;</w:t>
      </w:r>
    </w:p>
    <w:p w:rsidR="005F4C24" w:rsidRDefault="004C2B0D">
      <w:pPr>
        <w:pStyle w:val="Heading3"/>
        <w:numPr>
          <w:ilvl w:val="2"/>
          <w:numId w:val="17"/>
        </w:numPr>
      </w:pPr>
      <w:r>
        <w:t>implement interim mitigation measures to vulnerabilities in the Information System known to be exploitable where a security patch is not immediately available;</w:t>
      </w:r>
    </w:p>
    <w:p w:rsidR="005F4C24" w:rsidRDefault="004C2B0D">
      <w:pPr>
        <w:pStyle w:val="Heading3"/>
        <w:numPr>
          <w:ilvl w:val="2"/>
          <w:numId w:val="17"/>
        </w:numPr>
      </w:pPr>
      <w:r>
        <w:t>as far as practicable, remove or disable any extraneous interfaces, services or capabilities not needed for the provision of the Services within the timescales set out in the test report or such other timescales as may be agreed with the Authority.</w:t>
      </w:r>
    </w:p>
    <w:p w:rsidR="005F4C24" w:rsidRDefault="004C2B0D">
      <w:pPr>
        <w:pStyle w:val="Heading1"/>
        <w:numPr>
          <w:ilvl w:val="0"/>
          <w:numId w:val="17"/>
        </w:numPr>
      </w:pPr>
      <w:bookmarkStart w:id="74" w:name="_heading=h.48pi1tg" w:colFirst="0" w:colLast="0"/>
      <w:bookmarkEnd w:id="74"/>
      <w:r>
        <w:t>Independent Security Adviser</w:t>
      </w:r>
    </w:p>
    <w:p w:rsidR="005F4C24" w:rsidRDefault="004C2B0D">
      <w:pPr>
        <w:pStyle w:val="Heading2"/>
        <w:keepNext/>
        <w:numPr>
          <w:ilvl w:val="1"/>
          <w:numId w:val="17"/>
        </w:numPr>
      </w:pPr>
      <w:r>
        <w:t>The Authority may require the appointment of an Independent Security Adviser where:</w:t>
      </w:r>
    </w:p>
    <w:p w:rsidR="005F4C24" w:rsidRDefault="004C2B0D">
      <w:pPr>
        <w:pStyle w:val="Heading3"/>
        <w:numPr>
          <w:ilvl w:val="2"/>
          <w:numId w:val="17"/>
        </w:numPr>
      </w:pPr>
      <w:r>
        <w:t>there is a proposed change to the Supplier Information Management System (see paragraph 11.5);</w:t>
      </w:r>
    </w:p>
    <w:p w:rsidR="005F4C24" w:rsidRDefault="004C2B0D">
      <w:pPr>
        <w:pStyle w:val="Heading3"/>
        <w:numPr>
          <w:ilvl w:val="2"/>
          <w:numId w:val="17"/>
        </w:numPr>
      </w:pPr>
      <w:r>
        <w:t>the Authority issues two or more Risk Management Rejection Notices (see paragraph 15.2(b)); or</w:t>
      </w:r>
    </w:p>
    <w:p w:rsidR="005F4C24" w:rsidRDefault="004C2B0D">
      <w:pPr>
        <w:pStyle w:val="Heading3"/>
        <w:numPr>
          <w:ilvl w:val="2"/>
          <w:numId w:val="17"/>
        </w:numPr>
      </w:pPr>
      <w:r>
        <w:t>a Security Test (see paragraph 10 of the Security Requirements) report identifies more than 10 vulnerabilities classified as either critical or high.</w:t>
      </w:r>
    </w:p>
    <w:p w:rsidR="005F4C24" w:rsidRDefault="004C2B0D">
      <w:pPr>
        <w:pStyle w:val="Heading2"/>
        <w:keepNext/>
        <w:numPr>
          <w:ilvl w:val="1"/>
          <w:numId w:val="17"/>
        </w:numPr>
      </w:pPr>
      <w:r>
        <w:t>Where the Authority requires the appointment of an Independent Security Adviser the Independent Security Adviser shall be:</w:t>
      </w:r>
    </w:p>
    <w:p w:rsidR="005F4C24" w:rsidRDefault="004C2B0D">
      <w:pPr>
        <w:pStyle w:val="Heading3"/>
        <w:numPr>
          <w:ilvl w:val="2"/>
          <w:numId w:val="17"/>
        </w:numPr>
      </w:pPr>
      <w:r>
        <w:t>a person selected by the Supplier and approved by the Authority; or</w:t>
      </w:r>
    </w:p>
    <w:p w:rsidR="005F4C24" w:rsidRDefault="004C2B0D">
      <w:pPr>
        <w:pStyle w:val="Heading3"/>
        <w:keepNext/>
        <w:numPr>
          <w:ilvl w:val="2"/>
          <w:numId w:val="17"/>
        </w:numPr>
      </w:pPr>
      <w:r>
        <w:t>where</w:t>
      </w:r>
    </w:p>
    <w:p w:rsidR="005F4C24" w:rsidRDefault="004C2B0D">
      <w:pPr>
        <w:pStyle w:val="Heading4"/>
        <w:numPr>
          <w:ilvl w:val="3"/>
          <w:numId w:val="17"/>
        </w:numPr>
      </w:pPr>
      <w:r>
        <w:t>the Authority does not approve the persons selected by the Supplier; or</w:t>
      </w:r>
    </w:p>
    <w:p w:rsidR="005F4C24" w:rsidRDefault="004C2B0D">
      <w:pPr>
        <w:pStyle w:val="Heading4"/>
        <w:numPr>
          <w:ilvl w:val="3"/>
          <w:numId w:val="17"/>
        </w:numPr>
      </w:pPr>
      <w:r>
        <w:t>the Supplier does not select any person within ten Working Days of the date of the notice requiring the Independent Security Adviser’s appointment,</w:t>
      </w:r>
    </w:p>
    <w:p w:rsidR="005F4C24" w:rsidRDefault="004C2B0D">
      <w:pPr>
        <w:pBdr>
          <w:top w:val="nil"/>
          <w:left w:val="nil"/>
          <w:bottom w:val="nil"/>
          <w:right w:val="nil"/>
          <w:between w:val="nil"/>
        </w:pBdr>
        <w:ind w:left="1440"/>
        <w:rPr>
          <w:color w:val="000000"/>
        </w:rPr>
      </w:pPr>
      <w:r>
        <w:rPr>
          <w:color w:val="000000"/>
        </w:rPr>
        <w:t>a person selected by the Authority.</w:t>
      </w:r>
    </w:p>
    <w:p w:rsidR="005F4C24" w:rsidRDefault="004C2B0D">
      <w:pPr>
        <w:pStyle w:val="Heading2"/>
        <w:keepNext/>
        <w:numPr>
          <w:ilvl w:val="1"/>
          <w:numId w:val="17"/>
        </w:numPr>
      </w:pPr>
      <w:r>
        <w:t>The terms of the Independent Security Adviser’s appointment shall require that person to:</w:t>
      </w:r>
    </w:p>
    <w:p w:rsidR="005F4C24" w:rsidRDefault="004C2B0D">
      <w:pPr>
        <w:pStyle w:val="Heading3"/>
        <w:numPr>
          <w:ilvl w:val="2"/>
          <w:numId w:val="17"/>
        </w:numPr>
      </w:pPr>
      <w:r>
        <w:t xml:space="preserve">undertake a detailed review, including a full root cause analysis where the Independent Security Adviser considers it appropriate to do so, of the circumstances that led to that person’s appointment; and </w:t>
      </w:r>
    </w:p>
    <w:p w:rsidR="005F4C24" w:rsidRDefault="004C2B0D">
      <w:pPr>
        <w:pStyle w:val="Heading3"/>
        <w:keepNext/>
        <w:numPr>
          <w:ilvl w:val="2"/>
          <w:numId w:val="17"/>
        </w:numPr>
      </w:pPr>
      <w:r>
        <w:t>provide advice and recommendations on:</w:t>
      </w:r>
    </w:p>
    <w:p w:rsidR="005F4C24" w:rsidRDefault="004C2B0D">
      <w:pPr>
        <w:pStyle w:val="Heading4"/>
        <w:numPr>
          <w:ilvl w:val="3"/>
          <w:numId w:val="17"/>
        </w:numPr>
      </w:pPr>
      <w:r>
        <w:t>steps the Supplier can reasonably take to improvement the security of the Supplier Information Management System; and</w:t>
      </w:r>
    </w:p>
    <w:p w:rsidR="005F4C24" w:rsidRDefault="004C2B0D">
      <w:pPr>
        <w:pStyle w:val="Heading4"/>
        <w:numPr>
          <w:ilvl w:val="3"/>
          <w:numId w:val="17"/>
        </w:numPr>
      </w:pPr>
      <w:r>
        <w:t xml:space="preserve">where relevant, how the Supplier may mitigate the effects of, and remedy, </w:t>
      </w:r>
      <w:r w:rsidR="00B93386">
        <w:t>those and</w:t>
      </w:r>
      <w:r>
        <w:t xml:space="preserve"> to avoid the occurrence of similar circumstances to those leading to the appointment of the Independent Security Adviser in the future.</w:t>
      </w:r>
    </w:p>
    <w:p w:rsidR="005F4C24" w:rsidRDefault="004C2B0D">
      <w:pPr>
        <w:pStyle w:val="Heading2"/>
        <w:keepNext/>
        <w:numPr>
          <w:ilvl w:val="1"/>
          <w:numId w:val="17"/>
        </w:numPr>
      </w:pPr>
      <w:r>
        <w:lastRenderedPageBreak/>
        <w:t>The Supplier must permit, and must ensure that relevant Sub-contractors permit, the Independent Security Adviser to:</w:t>
      </w:r>
    </w:p>
    <w:p w:rsidR="005F4C24" w:rsidRDefault="004C2B0D">
      <w:pPr>
        <w:pStyle w:val="Heading3"/>
        <w:numPr>
          <w:ilvl w:val="2"/>
          <w:numId w:val="17"/>
        </w:numPr>
      </w:pPr>
      <w:r>
        <w:t xml:space="preserve">observe the conduct of and work alongside the Supplier Personnel to the extent that the Independent Security Adviser considers reasonable and proportionate having regard to reason for their appointment; </w:t>
      </w:r>
    </w:p>
    <w:p w:rsidR="005F4C24" w:rsidRDefault="004C2B0D">
      <w:pPr>
        <w:pStyle w:val="Heading3"/>
        <w:numPr>
          <w:ilvl w:val="2"/>
          <w:numId w:val="17"/>
        </w:numPr>
      </w:pPr>
      <w:r>
        <w:t xml:space="preserve">gather any information the Independent Security Adviser considers relevant in the furtherance of their appointment; </w:t>
      </w:r>
    </w:p>
    <w:p w:rsidR="005F4C24" w:rsidRDefault="004C2B0D">
      <w:pPr>
        <w:pStyle w:val="Heading3"/>
        <w:numPr>
          <w:ilvl w:val="2"/>
          <w:numId w:val="17"/>
        </w:numPr>
      </w:pPr>
      <w:r>
        <w:t xml:space="preserve">write reports and provide information to the Authority in connection with the steps being taken by the Supplier to remedy the matters leading to the Independent Security Adviser’s appointment; </w:t>
      </w:r>
    </w:p>
    <w:p w:rsidR="005F4C24" w:rsidRDefault="004C2B0D">
      <w:pPr>
        <w:pStyle w:val="Heading3"/>
        <w:numPr>
          <w:ilvl w:val="2"/>
          <w:numId w:val="17"/>
        </w:numPr>
      </w:pPr>
      <w:r>
        <w:t>make recommendations to the Authority and/or the Supplier as to how the matters leading to their appointment might be mitigated or avoided in the future; and/or</w:t>
      </w:r>
    </w:p>
    <w:p w:rsidR="005F4C24" w:rsidRDefault="004C2B0D">
      <w:pPr>
        <w:pStyle w:val="Heading3"/>
        <w:numPr>
          <w:ilvl w:val="2"/>
          <w:numId w:val="17"/>
        </w:numPr>
      </w:pPr>
      <w:r>
        <w:t>take any other steps that the Authority and/or the Independent Security Adviser reasonably considers necessary or expedient in order to mitigate or rectify matters leading to the Independent Security Adviser’s appointment.</w:t>
      </w:r>
    </w:p>
    <w:p w:rsidR="005F4C24" w:rsidRDefault="004C2B0D">
      <w:pPr>
        <w:pStyle w:val="Heading2"/>
        <w:keepNext/>
        <w:numPr>
          <w:ilvl w:val="1"/>
          <w:numId w:val="17"/>
        </w:numPr>
      </w:pPr>
      <w:r>
        <w:t>The Supplier must, and ensure that relevant Sub-contractors:</w:t>
      </w:r>
    </w:p>
    <w:p w:rsidR="005F4C24" w:rsidRDefault="004C2B0D">
      <w:pPr>
        <w:pStyle w:val="Heading3"/>
        <w:numPr>
          <w:ilvl w:val="2"/>
          <w:numId w:val="17"/>
        </w:numPr>
      </w:pPr>
      <w:r>
        <w:t>where relevant, work alongside, provide information to, co-operate in good faith with and adopt any reasonable methodology in providing the Services recommended by the Independent Security Adviser in order to mitigate or rectify any of the vulnerabilities that led to the appointment of the Independent Security Adviser;</w:t>
      </w:r>
    </w:p>
    <w:p w:rsidR="005F4C24" w:rsidRDefault="004C2B0D">
      <w:pPr>
        <w:pStyle w:val="Heading3"/>
        <w:numPr>
          <w:ilvl w:val="2"/>
          <w:numId w:val="17"/>
        </w:numPr>
      </w:pPr>
      <w:r>
        <w:t xml:space="preserve">ensure that the Independent Security Adviser has all the access it may require in order to carry out its objective, including access to the Assets; </w:t>
      </w:r>
    </w:p>
    <w:p w:rsidR="005F4C24" w:rsidRDefault="004C2B0D">
      <w:pPr>
        <w:pStyle w:val="Heading3"/>
        <w:numPr>
          <w:ilvl w:val="2"/>
          <w:numId w:val="17"/>
        </w:numPr>
      </w:pPr>
      <w:r>
        <w:t>submit to such monitoring as the Authority and/or the Independent Security Adviser considers reasonable and proportionate in respect of the matters giving rise to their appointment;</w:t>
      </w:r>
    </w:p>
    <w:p w:rsidR="005F4C24" w:rsidRDefault="004C2B0D">
      <w:pPr>
        <w:pStyle w:val="Heading3"/>
        <w:numPr>
          <w:ilvl w:val="2"/>
          <w:numId w:val="17"/>
        </w:numPr>
      </w:pPr>
      <w:r>
        <w:t>implement any recommendations (including additional security measures and/or controls) made by the Independent Security Adviser that have been approved by the Authority within the timescales given by the Independent Security Adviser; and</w:t>
      </w:r>
    </w:p>
    <w:p w:rsidR="005F4C24" w:rsidRDefault="004C2B0D">
      <w:pPr>
        <w:pStyle w:val="Heading3"/>
        <w:numPr>
          <w:ilvl w:val="2"/>
          <w:numId w:val="17"/>
        </w:numPr>
      </w:pPr>
      <w:r>
        <w:t xml:space="preserve">not terminate the appointment of the Independent Security Adviser without the prior consent of the Authority (unless such consent has been unreasonably withheld). </w:t>
      </w:r>
    </w:p>
    <w:p w:rsidR="005F4C24" w:rsidRDefault="004C2B0D">
      <w:pPr>
        <w:pStyle w:val="Heading2"/>
        <w:keepNext/>
        <w:numPr>
          <w:ilvl w:val="1"/>
          <w:numId w:val="17"/>
        </w:numPr>
      </w:pPr>
      <w:r>
        <w:t>The Supplier shall be responsible for:</w:t>
      </w:r>
    </w:p>
    <w:p w:rsidR="005F4C24" w:rsidRDefault="004C2B0D">
      <w:pPr>
        <w:pStyle w:val="Heading3"/>
        <w:numPr>
          <w:ilvl w:val="2"/>
          <w:numId w:val="17"/>
        </w:numPr>
      </w:pPr>
      <w:r>
        <w:t>the costs of appointing, and the fees charged by, the Independent Security Adviser; and</w:t>
      </w:r>
    </w:p>
    <w:p w:rsidR="005F4C24" w:rsidRDefault="004C2B0D">
      <w:pPr>
        <w:pStyle w:val="Heading3"/>
        <w:numPr>
          <w:ilvl w:val="2"/>
          <w:numId w:val="17"/>
        </w:numPr>
      </w:pPr>
      <w:r>
        <w:t>its own costs in connection with any action required by the Authority and/or the Independent Security Adviser.</w:t>
      </w:r>
    </w:p>
    <w:p w:rsidR="005F4C24" w:rsidRDefault="004C2B0D">
      <w:pPr>
        <w:pStyle w:val="Heading2"/>
        <w:keepNext/>
        <w:numPr>
          <w:ilvl w:val="1"/>
          <w:numId w:val="17"/>
        </w:numPr>
      </w:pPr>
      <w:r>
        <w:t>If the Supplier or any relevant Sub-contractor:</w:t>
      </w:r>
    </w:p>
    <w:p w:rsidR="005F4C24" w:rsidRDefault="004C2B0D">
      <w:pPr>
        <w:pStyle w:val="Heading3"/>
        <w:numPr>
          <w:ilvl w:val="2"/>
          <w:numId w:val="17"/>
        </w:numPr>
      </w:pPr>
      <w:r>
        <w:t>fails to perform any of the steps required by the Authority in the notice appointing the Independent Security Adviser; and/or</w:t>
      </w:r>
    </w:p>
    <w:p w:rsidR="005F4C24" w:rsidRDefault="004C2B0D">
      <w:pPr>
        <w:pStyle w:val="Heading3"/>
        <w:numPr>
          <w:ilvl w:val="2"/>
          <w:numId w:val="17"/>
        </w:numPr>
      </w:pPr>
      <w:r>
        <w:t>is in Default of any of its obligations under this paragraph 18,</w:t>
      </w:r>
    </w:p>
    <w:p w:rsidR="005F4C24" w:rsidRDefault="004C2B0D">
      <w:pPr>
        <w:numPr>
          <w:ilvl w:val="1"/>
          <w:numId w:val="37"/>
        </w:numPr>
        <w:pBdr>
          <w:top w:val="nil"/>
          <w:left w:val="nil"/>
          <w:bottom w:val="nil"/>
          <w:right w:val="nil"/>
          <w:between w:val="nil"/>
        </w:pBdr>
      </w:pPr>
      <w:r>
        <w:rPr>
          <w:color w:val="000000"/>
        </w:rPr>
        <w:t>this is a material Default that is capable of remedy.</w:t>
      </w:r>
    </w:p>
    <w:p w:rsidR="005F4C24" w:rsidRDefault="004C2B0D">
      <w:pPr>
        <w:pStyle w:val="Heading1"/>
        <w:numPr>
          <w:ilvl w:val="0"/>
          <w:numId w:val="17"/>
        </w:numPr>
      </w:pPr>
      <w:bookmarkStart w:id="75" w:name="_heading=h.2nusc19" w:colFirst="0" w:colLast="0"/>
      <w:bookmarkEnd w:id="75"/>
      <w:r>
        <w:lastRenderedPageBreak/>
        <w:t>Withholding of Charges</w:t>
      </w:r>
    </w:p>
    <w:p w:rsidR="005F4C24" w:rsidRDefault="004C2B0D">
      <w:pPr>
        <w:pStyle w:val="Heading2"/>
        <w:keepNext/>
        <w:numPr>
          <w:ilvl w:val="1"/>
          <w:numId w:val="17"/>
        </w:numPr>
      </w:pPr>
      <w:bookmarkStart w:id="76" w:name="_heading=h.1302m92" w:colFirst="0" w:colLast="0"/>
      <w:bookmarkEnd w:id="76"/>
      <w:r>
        <w:t>The Authority may withhold some or all of the Charges in accordance with the provisions of this paragraph 19 where:</w:t>
      </w:r>
    </w:p>
    <w:p w:rsidR="005F4C24" w:rsidRDefault="004C2B0D">
      <w:pPr>
        <w:pStyle w:val="Heading3"/>
        <w:numPr>
          <w:ilvl w:val="2"/>
          <w:numId w:val="17"/>
        </w:numPr>
      </w:pPr>
      <w:r>
        <w:t>the Supplier in in material Default of any of its obligations under this Schedule (</w:t>
      </w:r>
      <w:r>
        <w:rPr>
          <w:i/>
        </w:rPr>
        <w:t>Security Management</w:t>
      </w:r>
      <w:r>
        <w:t>); or</w:t>
      </w:r>
    </w:p>
    <w:p w:rsidR="005F4C24" w:rsidRDefault="004C2B0D">
      <w:pPr>
        <w:pStyle w:val="Heading3"/>
        <w:keepNext/>
        <w:numPr>
          <w:ilvl w:val="2"/>
          <w:numId w:val="17"/>
        </w:numPr>
      </w:pPr>
      <w:r>
        <w:t>any of the following matters occurs (where the those matters arise from a Default by the Supplier of its obligations under this this Schedule (</w:t>
      </w:r>
      <w:r>
        <w:rPr>
          <w:i/>
        </w:rPr>
        <w:t>Security Management</w:t>
      </w:r>
      <w:r>
        <w:t>)):</w:t>
      </w:r>
    </w:p>
    <w:p w:rsidR="005F4C24" w:rsidRDefault="004C2B0D">
      <w:pPr>
        <w:pStyle w:val="Heading4"/>
        <w:numPr>
          <w:ilvl w:val="3"/>
          <w:numId w:val="17"/>
        </w:numPr>
      </w:pPr>
      <w:r>
        <w:t>a Notifiable Default;</w:t>
      </w:r>
    </w:p>
    <w:p w:rsidR="005F4C24" w:rsidRDefault="004C2B0D">
      <w:pPr>
        <w:pStyle w:val="Heading4"/>
        <w:numPr>
          <w:ilvl w:val="3"/>
          <w:numId w:val="17"/>
        </w:numPr>
      </w:pPr>
      <w:r>
        <w:t>an Intervention Cause; or</w:t>
      </w:r>
    </w:p>
    <w:p w:rsidR="005F4C24" w:rsidRDefault="004C2B0D">
      <w:pPr>
        <w:pStyle w:val="Heading4"/>
        <w:numPr>
          <w:ilvl w:val="3"/>
          <w:numId w:val="17"/>
        </w:numPr>
      </w:pPr>
      <w:r>
        <w:t>a Step-in Trigger Event.</w:t>
      </w:r>
    </w:p>
    <w:p w:rsidR="005F4C24" w:rsidRDefault="004C2B0D">
      <w:pPr>
        <w:pStyle w:val="Heading2"/>
        <w:numPr>
          <w:ilvl w:val="1"/>
          <w:numId w:val="17"/>
        </w:numPr>
      </w:pPr>
      <w:r>
        <w:t>The Authority may withhold an amount of the Charges that it considers sufficient, in its sole discretion, to incentivise the Supplier to perform the obligations it has Defaulted upon.</w:t>
      </w:r>
    </w:p>
    <w:p w:rsidR="005F4C24" w:rsidRDefault="004C2B0D">
      <w:pPr>
        <w:pStyle w:val="Heading2"/>
        <w:keepNext/>
        <w:numPr>
          <w:ilvl w:val="1"/>
          <w:numId w:val="17"/>
        </w:numPr>
      </w:pPr>
      <w:r>
        <w:t>Before withholding any Charges under paragraph 19.1 the Authority must</w:t>
      </w:r>
    </w:p>
    <w:p w:rsidR="005F4C24" w:rsidRDefault="004C2B0D">
      <w:pPr>
        <w:pStyle w:val="Heading3"/>
        <w:keepNext/>
        <w:numPr>
          <w:ilvl w:val="2"/>
          <w:numId w:val="17"/>
        </w:numPr>
      </w:pPr>
      <w:bookmarkStart w:id="77" w:name="_heading=h.3mzq4wv" w:colFirst="0" w:colLast="0"/>
      <w:bookmarkEnd w:id="77"/>
      <w:r>
        <w:t>provide written notice to the Supplier setting out:</w:t>
      </w:r>
    </w:p>
    <w:p w:rsidR="005F4C24" w:rsidRDefault="004C2B0D">
      <w:pPr>
        <w:pStyle w:val="Heading4"/>
        <w:numPr>
          <w:ilvl w:val="3"/>
          <w:numId w:val="17"/>
        </w:numPr>
      </w:pPr>
      <w:r>
        <w:t>the Default in respect of which the Authority has decided to withhold some or all of the Charges;</w:t>
      </w:r>
    </w:p>
    <w:p w:rsidR="005F4C24" w:rsidRDefault="004C2B0D">
      <w:pPr>
        <w:pStyle w:val="Heading4"/>
        <w:numPr>
          <w:ilvl w:val="3"/>
          <w:numId w:val="17"/>
        </w:numPr>
      </w:pPr>
      <w:r>
        <w:t>the amount of the Charges that the Authority will withhold;</w:t>
      </w:r>
    </w:p>
    <w:p w:rsidR="005F4C24" w:rsidRDefault="004C2B0D">
      <w:pPr>
        <w:pStyle w:val="Heading4"/>
        <w:numPr>
          <w:ilvl w:val="3"/>
          <w:numId w:val="17"/>
        </w:numPr>
      </w:pPr>
      <w:r>
        <w:t>the steps the Supplier must take to remedy the Default;</w:t>
      </w:r>
    </w:p>
    <w:p w:rsidR="005F4C24" w:rsidRDefault="004C2B0D">
      <w:pPr>
        <w:pStyle w:val="Heading4"/>
        <w:numPr>
          <w:ilvl w:val="3"/>
          <w:numId w:val="17"/>
        </w:numPr>
      </w:pPr>
      <w:r>
        <w:t>the date by which the Supplier must remedy the Default;</w:t>
      </w:r>
    </w:p>
    <w:p w:rsidR="005F4C24" w:rsidRDefault="004C2B0D">
      <w:pPr>
        <w:pStyle w:val="Heading4"/>
        <w:numPr>
          <w:ilvl w:val="3"/>
          <w:numId w:val="17"/>
        </w:numPr>
      </w:pPr>
      <w:r>
        <w:t>the invoice in respect of which the Authority will withhold the Charges; and</w:t>
      </w:r>
    </w:p>
    <w:p w:rsidR="005F4C24" w:rsidRDefault="004C2B0D">
      <w:pPr>
        <w:pStyle w:val="Heading3"/>
        <w:numPr>
          <w:ilvl w:val="2"/>
          <w:numId w:val="17"/>
        </w:numPr>
      </w:pPr>
      <w:r>
        <w:t>consider any representations that the Supplier may make concerning the Authority’s decision.</w:t>
      </w:r>
    </w:p>
    <w:p w:rsidR="005F4C24" w:rsidRDefault="004C2B0D">
      <w:pPr>
        <w:pStyle w:val="Heading2"/>
        <w:numPr>
          <w:ilvl w:val="1"/>
          <w:numId w:val="17"/>
        </w:numPr>
      </w:pPr>
      <w:r>
        <w:t>Where the Supplier does not remedy the Default by the date specified in the notice given under paragraph 19.3(a), the Authority may retain the withheld amount.</w:t>
      </w:r>
    </w:p>
    <w:p w:rsidR="005F4C24" w:rsidRDefault="004C2B0D">
      <w:pPr>
        <w:pStyle w:val="Heading2"/>
        <w:keepNext/>
        <w:numPr>
          <w:ilvl w:val="1"/>
          <w:numId w:val="17"/>
        </w:numPr>
      </w:pPr>
      <w:r>
        <w:t>The Supplier acknowledges:</w:t>
      </w:r>
    </w:p>
    <w:p w:rsidR="005F4C24" w:rsidRDefault="004C2B0D">
      <w:pPr>
        <w:pStyle w:val="Heading3"/>
        <w:numPr>
          <w:ilvl w:val="2"/>
          <w:numId w:val="17"/>
        </w:numPr>
      </w:pPr>
      <w:r>
        <w:t>the legitimate interest that the Authority has in ensuring the security of the Supplier Information Management System and the Authority Data and, as a consequence, the performance by the Supplier of its obligations under this Schedule (</w:t>
      </w:r>
      <w:r>
        <w:rPr>
          <w:i/>
        </w:rPr>
        <w:t>Security Management</w:t>
      </w:r>
      <w:r>
        <w:t>); and</w:t>
      </w:r>
    </w:p>
    <w:p w:rsidR="005F4C24" w:rsidRDefault="004C2B0D">
      <w:pPr>
        <w:pStyle w:val="Heading3"/>
        <w:keepNext/>
        <w:numPr>
          <w:ilvl w:val="2"/>
          <w:numId w:val="17"/>
        </w:numPr>
      </w:pPr>
      <w:r>
        <w:t>that any Charges that are retained by the Authority are not out of all proportion to the Authority’s legitimate interest, even where:</w:t>
      </w:r>
    </w:p>
    <w:p w:rsidR="005F4C24" w:rsidRDefault="004C2B0D">
      <w:pPr>
        <w:pStyle w:val="Heading4"/>
        <w:numPr>
          <w:ilvl w:val="3"/>
          <w:numId w:val="17"/>
        </w:numPr>
      </w:pPr>
      <w:r>
        <w:t>the Authority has not suffered any Losses as a result of the Supplier’s Default; or</w:t>
      </w:r>
    </w:p>
    <w:p w:rsidR="005F4C24" w:rsidRDefault="004C2B0D">
      <w:pPr>
        <w:pStyle w:val="Heading4"/>
        <w:numPr>
          <w:ilvl w:val="3"/>
          <w:numId w:val="17"/>
        </w:numPr>
      </w:pPr>
      <w:r>
        <w:t>the value of the Losses suffered by the Authority as a result of the Supplier’s Default is lower than the amount of the Charges retained</w:t>
      </w:r>
    </w:p>
    <w:p w:rsidR="005F4C24" w:rsidRDefault="004C2B0D">
      <w:pPr>
        <w:pStyle w:val="Heading2"/>
        <w:numPr>
          <w:ilvl w:val="1"/>
          <w:numId w:val="17"/>
        </w:numPr>
      </w:pPr>
      <w:r>
        <w:lastRenderedPageBreak/>
        <w:t>The Authority’s right to withhold or retain any amount under this paragraph 19 are in addition to any other rights that the Authority may have under this Contract or in Law, including any right to claim damages for Losses it suffers arising from the Default.</w:t>
      </w:r>
    </w:p>
    <w:p w:rsidR="005F4C24" w:rsidRDefault="004C2B0D">
      <w:pPr>
        <w:pStyle w:val="Heading1"/>
        <w:numPr>
          <w:ilvl w:val="0"/>
          <w:numId w:val="17"/>
        </w:numPr>
      </w:pPr>
      <w:bookmarkStart w:id="78" w:name="_heading=h.2250f4o" w:colFirst="0" w:colLast="0"/>
      <w:bookmarkEnd w:id="78"/>
      <w:r>
        <w:t>Access to Authority System</w:t>
      </w:r>
    </w:p>
    <w:p w:rsidR="005F4C24" w:rsidRDefault="004C2B0D">
      <w:pPr>
        <w:numPr>
          <w:ilvl w:val="0"/>
          <w:numId w:val="37"/>
        </w:numPr>
        <w:pBdr>
          <w:top w:val="nil"/>
          <w:left w:val="nil"/>
          <w:bottom w:val="nil"/>
          <w:right w:val="nil"/>
          <w:between w:val="nil"/>
        </w:pBdr>
      </w:pPr>
      <w:r>
        <w:rPr>
          <w:color w:val="000000"/>
        </w:rPr>
        <w:t>Where the Supplier, a Sub-contractor or any of the Supplier Personnel is granted access to the Authority System or to the Authority Equipment, it must comply with and ensure that all such Sub-contractors and Supplier Personnel comply with, all rules, policies and guidance provided to it and as updated from time to time concerning the Authority System or the Authority Equipment.</w:t>
      </w:r>
    </w:p>
    <w:p w:rsidR="005F4C24" w:rsidRDefault="004C2B0D">
      <w:pPr>
        <w:keepNext/>
        <w:pageBreakBefore/>
        <w:pBdr>
          <w:top w:val="nil"/>
          <w:left w:val="nil"/>
          <w:bottom w:val="nil"/>
          <w:right w:val="nil"/>
          <w:between w:val="nil"/>
        </w:pBdr>
        <w:spacing w:before="360" w:after="360"/>
        <w:rPr>
          <w:rFonts w:ascii="Cambria" w:eastAsia="Cambria" w:hAnsi="Cambria" w:cs="Cambria"/>
          <w:color w:val="000000"/>
          <w:sz w:val="36"/>
          <w:szCs w:val="36"/>
        </w:rPr>
      </w:pPr>
      <w:bookmarkStart w:id="79" w:name="_heading=h.1gf8i83" w:colFirst="0" w:colLast="0"/>
      <w:bookmarkEnd w:id="79"/>
      <w:r>
        <w:rPr>
          <w:rFonts w:ascii="Cambria" w:eastAsia="Cambria" w:hAnsi="Cambria" w:cs="Cambria"/>
          <w:color w:val="000000"/>
          <w:sz w:val="36"/>
          <w:szCs w:val="36"/>
        </w:rPr>
        <w:lastRenderedPageBreak/>
        <w:t>Signature page</w:t>
      </w:r>
    </w:p>
    <w:p w:rsidR="005F4C24" w:rsidRDefault="005F4C24">
      <w:pPr>
        <w:pBdr>
          <w:top w:val="nil"/>
          <w:left w:val="nil"/>
          <w:bottom w:val="nil"/>
          <w:right w:val="nil"/>
          <w:between w:val="nil"/>
        </w:pBdr>
        <w:rPr>
          <w:color w:val="000000"/>
        </w:rPr>
        <w:sectPr w:rsidR="005F4C24">
          <w:footerReference w:type="default" r:id="rId18"/>
          <w:pgSz w:w="11906" w:h="16838"/>
          <w:pgMar w:top="1440" w:right="1440" w:bottom="1797" w:left="1440" w:header="720" w:footer="720" w:gutter="0"/>
          <w:pgNumType w:start="1"/>
          <w:cols w:space="720"/>
        </w:sectPr>
      </w:pPr>
    </w:p>
    <w:p w:rsidR="005F4C24" w:rsidRDefault="004C2B0D">
      <w:pPr>
        <w:keepNext/>
        <w:numPr>
          <w:ilvl w:val="0"/>
          <w:numId w:val="36"/>
        </w:numPr>
        <w:pBdr>
          <w:top w:val="nil"/>
          <w:left w:val="nil"/>
          <w:bottom w:val="nil"/>
          <w:right w:val="nil"/>
          <w:between w:val="nil"/>
        </w:pBdr>
      </w:pPr>
      <w:bookmarkStart w:id="80" w:name="_heading=h.3ep43zb" w:colFirst="0" w:colLast="0"/>
      <w:bookmarkEnd w:id="80"/>
      <w:r>
        <w:rPr>
          <w:color w:val="000000"/>
          <w:sz w:val="28"/>
          <w:szCs w:val="28"/>
        </w:rPr>
        <w:lastRenderedPageBreak/>
        <w:t>Security requirements</w:t>
      </w:r>
    </w:p>
    <w:p w:rsidR="005F4C24" w:rsidRDefault="004C2B0D">
      <w:pPr>
        <w:keepNext/>
        <w:numPr>
          <w:ilvl w:val="0"/>
          <w:numId w:val="5"/>
        </w:numPr>
        <w:pBdr>
          <w:top w:val="nil"/>
          <w:left w:val="nil"/>
          <w:bottom w:val="nil"/>
          <w:right w:val="nil"/>
          <w:between w:val="nil"/>
        </w:pBdr>
        <w:spacing w:before="360"/>
      </w:pPr>
      <w:bookmarkStart w:id="81" w:name="_heading=h.1tuee74" w:colFirst="0" w:colLast="0"/>
      <w:bookmarkEnd w:id="81"/>
      <w:r>
        <w:rPr>
          <w:b/>
          <w:color w:val="000000"/>
          <w:sz w:val="24"/>
          <w:szCs w:val="24"/>
        </w:rPr>
        <w:t>Location</w:t>
      </w:r>
    </w:p>
    <w:p w:rsidR="005F4C24" w:rsidRDefault="004C2B0D">
      <w:pPr>
        <w:keepNext/>
        <w:pBdr>
          <w:top w:val="nil"/>
          <w:left w:val="nil"/>
          <w:bottom w:val="nil"/>
          <w:right w:val="nil"/>
          <w:between w:val="nil"/>
        </w:pBdr>
        <w:ind w:left="720"/>
        <w:rPr>
          <w:b/>
          <w:color w:val="000000"/>
        </w:rPr>
      </w:pPr>
      <w:bookmarkStart w:id="82" w:name="_heading=h.4du1wux" w:colFirst="0" w:colLast="0"/>
      <w:bookmarkEnd w:id="82"/>
      <w:r>
        <w:rPr>
          <w:b/>
          <w:color w:val="000000"/>
        </w:rPr>
        <w:t>Location for Relevant Activities</w:t>
      </w:r>
    </w:p>
    <w:p w:rsidR="005F4C24" w:rsidRDefault="004C2B0D">
      <w:pPr>
        <w:keepNext/>
        <w:numPr>
          <w:ilvl w:val="1"/>
          <w:numId w:val="24"/>
        </w:numPr>
        <w:pBdr>
          <w:top w:val="nil"/>
          <w:left w:val="nil"/>
          <w:bottom w:val="nil"/>
          <w:right w:val="nil"/>
          <w:between w:val="nil"/>
        </w:pBdr>
      </w:pPr>
      <w:bookmarkStart w:id="83" w:name="_heading=h.2szc72q" w:colFirst="0" w:colLast="0"/>
      <w:bookmarkEnd w:id="83"/>
      <w:r>
        <w:rPr>
          <w:color w:val="000000"/>
        </w:rPr>
        <w:t>Unless otherwise agreed with the Authority, the Supplier must, and ensure that its Sub-contractors, at all times:</w:t>
      </w:r>
    </w:p>
    <w:p w:rsidR="005F4C24" w:rsidRDefault="004C2B0D">
      <w:pPr>
        <w:numPr>
          <w:ilvl w:val="2"/>
          <w:numId w:val="24"/>
        </w:numPr>
        <w:pBdr>
          <w:top w:val="nil"/>
          <w:left w:val="nil"/>
          <w:bottom w:val="nil"/>
          <w:right w:val="nil"/>
          <w:between w:val="nil"/>
        </w:pBdr>
      </w:pPr>
      <w:r>
        <w:rPr>
          <w:color w:val="000000"/>
        </w:rPr>
        <w:t>provide the Services;</w:t>
      </w:r>
    </w:p>
    <w:p w:rsidR="005F4C24" w:rsidRDefault="004C2B0D">
      <w:pPr>
        <w:keepNext/>
        <w:numPr>
          <w:ilvl w:val="2"/>
          <w:numId w:val="5"/>
        </w:numPr>
        <w:pBdr>
          <w:top w:val="nil"/>
          <w:left w:val="nil"/>
          <w:bottom w:val="nil"/>
          <w:right w:val="nil"/>
          <w:between w:val="nil"/>
        </w:pBdr>
      </w:pPr>
      <w:r>
        <w:rPr>
          <w:color w:val="000000"/>
        </w:rPr>
        <w:t>undertake any activity supporting or managing:</w:t>
      </w:r>
    </w:p>
    <w:p w:rsidR="005F4C24" w:rsidRDefault="004C2B0D">
      <w:pPr>
        <w:numPr>
          <w:ilvl w:val="3"/>
          <w:numId w:val="24"/>
        </w:numPr>
        <w:pBdr>
          <w:top w:val="nil"/>
          <w:left w:val="nil"/>
          <w:bottom w:val="nil"/>
          <w:right w:val="nil"/>
          <w:between w:val="nil"/>
        </w:pBdr>
      </w:pPr>
      <w:r>
        <w:rPr>
          <w:color w:val="000000"/>
        </w:rPr>
        <w:t>the Services;</w:t>
      </w:r>
    </w:p>
    <w:p w:rsidR="005F4C24" w:rsidRDefault="004C2B0D">
      <w:pPr>
        <w:numPr>
          <w:ilvl w:val="3"/>
          <w:numId w:val="11"/>
        </w:numPr>
        <w:pBdr>
          <w:top w:val="nil"/>
          <w:left w:val="nil"/>
          <w:bottom w:val="nil"/>
          <w:right w:val="nil"/>
          <w:between w:val="nil"/>
        </w:pBdr>
        <w:ind w:left="2160"/>
      </w:pPr>
      <w:r>
        <w:rPr>
          <w:color w:val="000000"/>
        </w:rPr>
        <w:t>the Supplier Information Management System; or</w:t>
      </w:r>
    </w:p>
    <w:p w:rsidR="005F4C24" w:rsidRDefault="004C2B0D">
      <w:pPr>
        <w:numPr>
          <w:ilvl w:val="3"/>
          <w:numId w:val="24"/>
        </w:numPr>
        <w:pBdr>
          <w:top w:val="nil"/>
          <w:left w:val="nil"/>
          <w:bottom w:val="nil"/>
          <w:right w:val="nil"/>
          <w:between w:val="nil"/>
        </w:pBdr>
      </w:pPr>
      <w:r>
        <w:rPr>
          <w:color w:val="000000"/>
        </w:rPr>
        <w:t xml:space="preserve">the Wider Information Management System; </w:t>
      </w:r>
    </w:p>
    <w:p w:rsidR="005F4C24" w:rsidRDefault="004C2B0D">
      <w:pPr>
        <w:numPr>
          <w:ilvl w:val="2"/>
          <w:numId w:val="24"/>
        </w:numPr>
        <w:pBdr>
          <w:top w:val="nil"/>
          <w:left w:val="nil"/>
          <w:bottom w:val="nil"/>
          <w:right w:val="nil"/>
          <w:between w:val="nil"/>
        </w:pBdr>
      </w:pPr>
      <w:r>
        <w:rPr>
          <w:color w:val="000000"/>
        </w:rPr>
        <w:t>store, access or process Authority Data;</w:t>
      </w:r>
    </w:p>
    <w:p w:rsidR="005F4C24" w:rsidRDefault="004C2B0D">
      <w:pPr>
        <w:numPr>
          <w:ilvl w:val="2"/>
          <w:numId w:val="5"/>
        </w:numPr>
        <w:pBdr>
          <w:top w:val="nil"/>
          <w:left w:val="nil"/>
          <w:bottom w:val="nil"/>
          <w:right w:val="nil"/>
          <w:between w:val="nil"/>
        </w:pBdr>
      </w:pPr>
      <w:r>
        <w:rPr>
          <w:color w:val="000000"/>
        </w:rPr>
        <w:t>undertake the Development Activity; and</w:t>
      </w:r>
    </w:p>
    <w:p w:rsidR="005F4C24" w:rsidRDefault="004C2B0D">
      <w:pPr>
        <w:numPr>
          <w:ilvl w:val="2"/>
          <w:numId w:val="24"/>
        </w:numPr>
        <w:pBdr>
          <w:top w:val="nil"/>
          <w:left w:val="nil"/>
          <w:bottom w:val="nil"/>
          <w:right w:val="nil"/>
          <w:between w:val="nil"/>
        </w:pBdr>
      </w:pPr>
      <w:r>
        <w:rPr>
          <w:color w:val="000000"/>
        </w:rPr>
        <w:t>host the Wider Information Management System, including any Sites</w:t>
      </w:r>
    </w:p>
    <w:p w:rsidR="005F4C24" w:rsidRDefault="004C2B0D">
      <w:pPr>
        <w:numPr>
          <w:ilvl w:val="1"/>
          <w:numId w:val="37"/>
        </w:numPr>
        <w:pBdr>
          <w:top w:val="nil"/>
          <w:left w:val="nil"/>
          <w:bottom w:val="nil"/>
          <w:right w:val="nil"/>
          <w:between w:val="nil"/>
        </w:pBdr>
      </w:pPr>
      <w:r>
        <w:rPr>
          <w:color w:val="000000"/>
        </w:rPr>
        <w:t xml:space="preserve">(together, the </w:t>
      </w:r>
      <w:r>
        <w:rPr>
          <w:b/>
          <w:color w:val="000000"/>
        </w:rPr>
        <w:t>Relevant Activities</w:t>
      </w:r>
      <w:r>
        <w:rPr>
          <w:color w:val="000000"/>
        </w:rPr>
        <w:t>)</w:t>
      </w:r>
    </w:p>
    <w:p w:rsidR="005F4C24" w:rsidRDefault="004C2B0D">
      <w:pPr>
        <w:numPr>
          <w:ilvl w:val="1"/>
          <w:numId w:val="37"/>
        </w:numPr>
        <w:pBdr>
          <w:top w:val="nil"/>
          <w:left w:val="nil"/>
          <w:bottom w:val="nil"/>
          <w:right w:val="nil"/>
          <w:between w:val="nil"/>
        </w:pBdr>
      </w:pPr>
      <w:r>
        <w:rPr>
          <w:color w:val="000000"/>
        </w:rPr>
        <w:t>only in or from the geographic areas permitted by the Authority in paragraph 1.</w:t>
      </w:r>
    </w:p>
    <w:p w:rsidR="005F4C24" w:rsidRDefault="004C2B0D">
      <w:pPr>
        <w:numPr>
          <w:ilvl w:val="1"/>
          <w:numId w:val="24"/>
        </w:numPr>
        <w:pBdr>
          <w:top w:val="nil"/>
          <w:left w:val="nil"/>
          <w:bottom w:val="nil"/>
          <w:right w:val="nil"/>
          <w:between w:val="nil"/>
        </w:pBdr>
      </w:pPr>
      <w:r>
        <w:rPr>
          <w:color w:val="000000"/>
        </w:rPr>
        <w:t>Where the Authority has not selected an option concerning location in paragraph 1, the Supplier may only undertake the Relevant Activities in or from the United Kingdom.</w:t>
      </w:r>
    </w:p>
    <w:p w:rsidR="005F4C24" w:rsidRDefault="004C2B0D">
      <w:pPr>
        <w:keepNext/>
        <w:numPr>
          <w:ilvl w:val="1"/>
          <w:numId w:val="5"/>
        </w:numPr>
        <w:pBdr>
          <w:top w:val="nil"/>
          <w:left w:val="nil"/>
          <w:bottom w:val="nil"/>
          <w:right w:val="nil"/>
          <w:between w:val="nil"/>
        </w:pBdr>
      </w:pPr>
      <w:bookmarkStart w:id="84" w:name="_heading=h.184mhaj" w:colFirst="0" w:colLast="0"/>
      <w:bookmarkEnd w:id="84"/>
      <w:r>
        <w:rPr>
          <w:color w:val="000000"/>
        </w:rPr>
        <w:t>Where the Authority has permitted the Supplier and its Sub-contractors to perform the Relevant Activities outside the United Kingdom or European Economic Area, the Supplier must, and must ensure that its Sub-contractors undertake the Relevant Activities in a facility operated by an entity where:</w:t>
      </w:r>
    </w:p>
    <w:p w:rsidR="005F4C24" w:rsidRDefault="004C2B0D">
      <w:pPr>
        <w:numPr>
          <w:ilvl w:val="2"/>
          <w:numId w:val="24"/>
        </w:numPr>
        <w:pBdr>
          <w:top w:val="nil"/>
          <w:left w:val="nil"/>
          <w:bottom w:val="nil"/>
          <w:right w:val="nil"/>
          <w:between w:val="nil"/>
        </w:pBdr>
      </w:pPr>
      <w:r>
        <w:rPr>
          <w:color w:val="000000"/>
        </w:rPr>
        <w:t>the entity has entered into a binding agreement with the Supplier or Sub-contractor (as applicable);</w:t>
      </w:r>
    </w:p>
    <w:p w:rsidR="005F4C24" w:rsidRDefault="004C2B0D">
      <w:pPr>
        <w:numPr>
          <w:ilvl w:val="2"/>
          <w:numId w:val="5"/>
        </w:numPr>
        <w:pBdr>
          <w:top w:val="nil"/>
          <w:left w:val="nil"/>
          <w:bottom w:val="nil"/>
          <w:right w:val="nil"/>
          <w:between w:val="nil"/>
        </w:pBdr>
      </w:pPr>
      <w:bookmarkStart w:id="85" w:name="_heading=h.3s49zyc" w:colFirst="0" w:colLast="0"/>
      <w:bookmarkEnd w:id="85"/>
      <w:r>
        <w:rPr>
          <w:color w:val="000000"/>
        </w:rPr>
        <w:t>that binding agreement includes obligations on the entity in relation to security management equivalent to those imposed on Sub-contractors in this Schedule [x] (</w:t>
      </w:r>
      <w:r>
        <w:rPr>
          <w:i/>
          <w:color w:val="000000"/>
        </w:rPr>
        <w:t>Security Management</w:t>
      </w:r>
      <w:r>
        <w:rPr>
          <w:color w:val="000000"/>
        </w:rPr>
        <w:t>);</w:t>
      </w:r>
    </w:p>
    <w:p w:rsidR="005F4C24" w:rsidRDefault="004C2B0D">
      <w:pPr>
        <w:numPr>
          <w:ilvl w:val="2"/>
          <w:numId w:val="24"/>
        </w:numPr>
        <w:pBdr>
          <w:top w:val="nil"/>
          <w:left w:val="nil"/>
          <w:bottom w:val="nil"/>
          <w:right w:val="nil"/>
          <w:between w:val="nil"/>
        </w:pBdr>
      </w:pPr>
      <w:r>
        <w:rPr>
          <w:color w:val="000000"/>
        </w:rPr>
        <w:t>the Supplier or Sub-contractor has taken reasonable steps to assure itself that the entity complies with the binding agreement;</w:t>
      </w:r>
    </w:p>
    <w:p w:rsidR="005F4C24" w:rsidRDefault="004C2B0D">
      <w:pPr>
        <w:keepNext/>
        <w:numPr>
          <w:ilvl w:val="2"/>
          <w:numId w:val="11"/>
        </w:numPr>
        <w:pBdr>
          <w:top w:val="nil"/>
          <w:left w:val="nil"/>
          <w:bottom w:val="nil"/>
          <w:right w:val="nil"/>
          <w:between w:val="nil"/>
        </w:pBdr>
        <w:ind w:left="1440"/>
      </w:pPr>
      <w:r>
        <w:rPr>
          <w:color w:val="000000"/>
        </w:rPr>
        <w:t>the Supplier has provided the Authority with such information as the Authority requires concerning:</w:t>
      </w:r>
    </w:p>
    <w:p w:rsidR="005F4C24" w:rsidRDefault="004C2B0D">
      <w:pPr>
        <w:numPr>
          <w:ilvl w:val="3"/>
          <w:numId w:val="24"/>
        </w:numPr>
        <w:pBdr>
          <w:top w:val="nil"/>
          <w:left w:val="nil"/>
          <w:bottom w:val="nil"/>
          <w:right w:val="nil"/>
          <w:between w:val="nil"/>
        </w:pBdr>
      </w:pPr>
      <w:r>
        <w:rPr>
          <w:color w:val="000000"/>
        </w:rPr>
        <w:t>the entity;</w:t>
      </w:r>
    </w:p>
    <w:p w:rsidR="005F4C24" w:rsidRDefault="004C2B0D">
      <w:pPr>
        <w:numPr>
          <w:ilvl w:val="3"/>
          <w:numId w:val="5"/>
        </w:numPr>
        <w:pBdr>
          <w:top w:val="nil"/>
          <w:left w:val="nil"/>
          <w:bottom w:val="nil"/>
          <w:right w:val="nil"/>
          <w:between w:val="nil"/>
        </w:pBdr>
      </w:pPr>
      <w:r>
        <w:rPr>
          <w:color w:val="000000"/>
        </w:rPr>
        <w:t>the arrangements with the entity; and</w:t>
      </w:r>
    </w:p>
    <w:p w:rsidR="005F4C24" w:rsidRDefault="004C2B0D">
      <w:pPr>
        <w:numPr>
          <w:ilvl w:val="3"/>
          <w:numId w:val="24"/>
        </w:numPr>
        <w:pBdr>
          <w:top w:val="nil"/>
          <w:left w:val="nil"/>
          <w:bottom w:val="nil"/>
          <w:right w:val="nil"/>
          <w:between w:val="nil"/>
        </w:pBdr>
      </w:pPr>
      <w:r>
        <w:rPr>
          <w:color w:val="000000"/>
        </w:rPr>
        <w:t>the entity’s compliance with the binding agreement; and</w:t>
      </w:r>
    </w:p>
    <w:p w:rsidR="005F4C24" w:rsidRDefault="004C2B0D">
      <w:pPr>
        <w:numPr>
          <w:ilvl w:val="2"/>
          <w:numId w:val="24"/>
        </w:numPr>
        <w:pBdr>
          <w:top w:val="nil"/>
          <w:left w:val="nil"/>
          <w:bottom w:val="nil"/>
          <w:right w:val="nil"/>
          <w:between w:val="nil"/>
        </w:pBdr>
      </w:pPr>
      <w:r>
        <w:rPr>
          <w:color w:val="000000"/>
        </w:rPr>
        <w:t>the Authority has not given the Supplier a Prohibition Notice under paragraph 1.10.</w:t>
      </w:r>
    </w:p>
    <w:p w:rsidR="005F4C24" w:rsidRDefault="004C2B0D">
      <w:pPr>
        <w:keepNext/>
        <w:numPr>
          <w:ilvl w:val="1"/>
          <w:numId w:val="24"/>
        </w:numPr>
        <w:pBdr>
          <w:top w:val="nil"/>
          <w:left w:val="nil"/>
          <w:bottom w:val="nil"/>
          <w:right w:val="nil"/>
          <w:between w:val="nil"/>
        </w:pBdr>
      </w:pPr>
      <w:r>
        <w:rPr>
          <w:color w:val="000000"/>
        </w:rPr>
        <w:lastRenderedPageBreak/>
        <w:t>Where the Supplier cannot comply with one or more of the requirements of paragraph 1.3:</w:t>
      </w:r>
    </w:p>
    <w:p w:rsidR="005F4C24" w:rsidRDefault="004C2B0D">
      <w:pPr>
        <w:keepNext/>
        <w:numPr>
          <w:ilvl w:val="2"/>
          <w:numId w:val="24"/>
        </w:numPr>
        <w:pBdr>
          <w:top w:val="nil"/>
          <w:left w:val="nil"/>
          <w:bottom w:val="nil"/>
          <w:right w:val="nil"/>
          <w:between w:val="nil"/>
        </w:pBdr>
      </w:pPr>
      <w:r>
        <w:rPr>
          <w:color w:val="000000"/>
        </w:rPr>
        <w:t>it must provide the Authority with such information as the Authority requests concerning:</w:t>
      </w:r>
    </w:p>
    <w:p w:rsidR="005F4C24" w:rsidRDefault="004C2B0D">
      <w:pPr>
        <w:numPr>
          <w:ilvl w:val="3"/>
          <w:numId w:val="24"/>
        </w:numPr>
        <w:pBdr>
          <w:top w:val="nil"/>
          <w:left w:val="nil"/>
          <w:bottom w:val="nil"/>
          <w:right w:val="nil"/>
          <w:between w:val="nil"/>
        </w:pBdr>
      </w:pPr>
      <w:r>
        <w:rPr>
          <w:color w:val="000000"/>
        </w:rPr>
        <w:t>the security controls in places at the relevant location or locations; and</w:t>
      </w:r>
    </w:p>
    <w:p w:rsidR="005F4C24" w:rsidRDefault="004C2B0D">
      <w:pPr>
        <w:numPr>
          <w:ilvl w:val="3"/>
          <w:numId w:val="5"/>
        </w:numPr>
        <w:pBdr>
          <w:top w:val="nil"/>
          <w:left w:val="nil"/>
          <w:bottom w:val="nil"/>
          <w:right w:val="nil"/>
          <w:between w:val="nil"/>
        </w:pBdr>
      </w:pPr>
      <w:r>
        <w:rPr>
          <w:color w:val="000000"/>
        </w:rPr>
        <w:t>where certain security controls are not, or only partially, implemented the reasons for this;</w:t>
      </w:r>
    </w:p>
    <w:p w:rsidR="005F4C24" w:rsidRDefault="004C2B0D">
      <w:pPr>
        <w:numPr>
          <w:ilvl w:val="2"/>
          <w:numId w:val="24"/>
        </w:numPr>
        <w:pBdr>
          <w:top w:val="nil"/>
          <w:left w:val="nil"/>
          <w:bottom w:val="nil"/>
          <w:right w:val="nil"/>
          <w:between w:val="nil"/>
        </w:pBdr>
      </w:pPr>
      <w:r>
        <w:rPr>
          <w:color w:val="000000"/>
        </w:rPr>
        <w:t>the Authority may grant approval to use that location or those locations, and that approval may include conditions; and</w:t>
      </w:r>
    </w:p>
    <w:p w:rsidR="005F4C24" w:rsidRDefault="004C2B0D">
      <w:pPr>
        <w:keepNext/>
        <w:numPr>
          <w:ilvl w:val="2"/>
          <w:numId w:val="5"/>
        </w:numPr>
        <w:pBdr>
          <w:top w:val="nil"/>
          <w:left w:val="nil"/>
          <w:bottom w:val="nil"/>
          <w:right w:val="nil"/>
          <w:between w:val="nil"/>
        </w:pBdr>
      </w:pPr>
      <w:r>
        <w:rPr>
          <w:color w:val="000000"/>
        </w:rPr>
        <w:t>if the Authority does not grant permission to use that location or those locations, the Supplier must, within such period as the Authority may specify:</w:t>
      </w:r>
    </w:p>
    <w:p w:rsidR="005F4C24" w:rsidRDefault="004C2B0D">
      <w:pPr>
        <w:numPr>
          <w:ilvl w:val="3"/>
          <w:numId w:val="24"/>
        </w:numPr>
        <w:pBdr>
          <w:top w:val="nil"/>
          <w:left w:val="nil"/>
          <w:bottom w:val="nil"/>
          <w:right w:val="nil"/>
          <w:between w:val="nil"/>
        </w:pBdr>
      </w:pPr>
      <w:r>
        <w:rPr>
          <w:color w:val="000000"/>
        </w:rPr>
        <w:t>cease to store, access or process Authority Data at that location or those locations;</w:t>
      </w:r>
    </w:p>
    <w:p w:rsidR="005F4C24" w:rsidRDefault="004C2B0D">
      <w:pPr>
        <w:numPr>
          <w:ilvl w:val="3"/>
          <w:numId w:val="5"/>
        </w:numPr>
        <w:pBdr>
          <w:top w:val="nil"/>
          <w:left w:val="nil"/>
          <w:bottom w:val="nil"/>
          <w:right w:val="nil"/>
          <w:between w:val="nil"/>
        </w:pBdr>
      </w:pPr>
      <w:r>
        <w:rPr>
          <w:color w:val="000000"/>
        </w:rPr>
        <w:t>sanitise, in accordance with instructions from the Authority, such equipment within the information and communications technology system used to store, access or process Authority Data at that location, or those locations, as the Authority may specify.</w:t>
      </w:r>
    </w:p>
    <w:p w:rsidR="005F4C24" w:rsidRDefault="004C2B0D">
      <w:pPr>
        <w:keepNext/>
        <w:pBdr>
          <w:top w:val="nil"/>
          <w:left w:val="nil"/>
          <w:bottom w:val="nil"/>
          <w:right w:val="nil"/>
          <w:between w:val="nil"/>
        </w:pBdr>
        <w:ind w:left="720"/>
        <w:rPr>
          <w:b/>
          <w:color w:val="000000"/>
        </w:rPr>
      </w:pPr>
      <w:r>
        <w:rPr>
          <w:b/>
          <w:color w:val="000000"/>
        </w:rPr>
        <w:t>Support Locations</w:t>
      </w:r>
    </w:p>
    <w:p w:rsidR="005F4C24" w:rsidRDefault="004C2B0D">
      <w:pPr>
        <w:numPr>
          <w:ilvl w:val="1"/>
          <w:numId w:val="24"/>
        </w:numPr>
        <w:pBdr>
          <w:top w:val="nil"/>
          <w:left w:val="nil"/>
          <w:bottom w:val="nil"/>
          <w:right w:val="nil"/>
          <w:between w:val="nil"/>
        </w:pBdr>
      </w:pPr>
      <w:r>
        <w:rPr>
          <w:color w:val="000000"/>
        </w:rPr>
        <w:t>The Supplier must ensure that all Support Locations are located only in the geographic areas permitted by the Authority.</w:t>
      </w:r>
    </w:p>
    <w:p w:rsidR="005F4C24" w:rsidRDefault="004C2B0D">
      <w:pPr>
        <w:numPr>
          <w:ilvl w:val="1"/>
          <w:numId w:val="5"/>
        </w:numPr>
        <w:pBdr>
          <w:top w:val="nil"/>
          <w:left w:val="nil"/>
          <w:bottom w:val="nil"/>
          <w:right w:val="nil"/>
          <w:between w:val="nil"/>
        </w:pBdr>
      </w:pPr>
      <w:r>
        <w:rPr>
          <w:color w:val="000000"/>
        </w:rPr>
        <w:t>Where the Authority has not selected an option concerning location in paragraph 1, the Supplier may only locate Support Locations in the United Kingdom.</w:t>
      </w:r>
    </w:p>
    <w:p w:rsidR="005F4C24" w:rsidRDefault="004C2B0D">
      <w:pPr>
        <w:keepNext/>
        <w:numPr>
          <w:ilvl w:val="1"/>
          <w:numId w:val="24"/>
        </w:numPr>
        <w:pBdr>
          <w:top w:val="nil"/>
          <w:left w:val="nil"/>
          <w:bottom w:val="nil"/>
          <w:right w:val="nil"/>
          <w:between w:val="nil"/>
        </w:pBdr>
      </w:pPr>
      <w:r>
        <w:rPr>
          <w:color w:val="000000"/>
        </w:rPr>
        <w:t>Where the Authority has permitted the Supplier and its Sub-contractors to operate Support Locations outside the United Kingdom or European Economic Area, the Supplier must, and must ensure that its Sub-contractors operate the Support Locations in a facility operated by an entity where</w:t>
      </w:r>
    </w:p>
    <w:p w:rsidR="005F4C24" w:rsidRDefault="004C2B0D">
      <w:pPr>
        <w:numPr>
          <w:ilvl w:val="2"/>
          <w:numId w:val="24"/>
        </w:numPr>
        <w:pBdr>
          <w:top w:val="nil"/>
          <w:left w:val="nil"/>
          <w:bottom w:val="nil"/>
          <w:right w:val="nil"/>
          <w:between w:val="nil"/>
        </w:pBdr>
      </w:pPr>
      <w:r>
        <w:rPr>
          <w:color w:val="000000"/>
        </w:rPr>
        <w:t>the entity has entered into a binding agreement with the Supplier or Sub-contractor (as applicable);</w:t>
      </w:r>
    </w:p>
    <w:p w:rsidR="005F4C24" w:rsidRDefault="004C2B0D">
      <w:pPr>
        <w:numPr>
          <w:ilvl w:val="2"/>
          <w:numId w:val="5"/>
        </w:numPr>
        <w:pBdr>
          <w:top w:val="nil"/>
          <w:left w:val="nil"/>
          <w:bottom w:val="nil"/>
          <w:right w:val="nil"/>
          <w:between w:val="nil"/>
        </w:pBdr>
      </w:pPr>
      <w:bookmarkStart w:id="86" w:name="_heading=h.279ka65" w:colFirst="0" w:colLast="0"/>
      <w:bookmarkEnd w:id="86"/>
      <w:r>
        <w:rPr>
          <w:color w:val="000000"/>
        </w:rPr>
        <w:t>the binding agreement includes obligations on the entity in relation to security management equivalent to those relating to Sub-contractors in this Schedule (</w:t>
      </w:r>
      <w:r>
        <w:rPr>
          <w:i/>
          <w:color w:val="000000"/>
        </w:rPr>
        <w:t>Security Management</w:t>
      </w:r>
      <w:r>
        <w:rPr>
          <w:color w:val="000000"/>
        </w:rPr>
        <w:t>);</w:t>
      </w:r>
    </w:p>
    <w:p w:rsidR="005F4C24" w:rsidRDefault="004C2B0D">
      <w:pPr>
        <w:numPr>
          <w:ilvl w:val="2"/>
          <w:numId w:val="24"/>
        </w:numPr>
        <w:pBdr>
          <w:top w:val="nil"/>
          <w:left w:val="nil"/>
          <w:bottom w:val="nil"/>
          <w:right w:val="nil"/>
          <w:between w:val="nil"/>
        </w:pBdr>
      </w:pPr>
      <w:r>
        <w:rPr>
          <w:color w:val="000000"/>
        </w:rPr>
        <w:t>the Supplier or Sub-contractor has taken reasonable steps to assure itself that the entity complies with the binding agreement;</w:t>
      </w:r>
    </w:p>
    <w:p w:rsidR="005F4C24" w:rsidRDefault="004C2B0D">
      <w:pPr>
        <w:keepNext/>
        <w:numPr>
          <w:ilvl w:val="2"/>
          <w:numId w:val="5"/>
        </w:numPr>
        <w:pBdr>
          <w:top w:val="nil"/>
          <w:left w:val="nil"/>
          <w:bottom w:val="nil"/>
          <w:right w:val="nil"/>
          <w:between w:val="nil"/>
        </w:pBdr>
      </w:pPr>
      <w:r>
        <w:rPr>
          <w:color w:val="000000"/>
        </w:rPr>
        <w:t>the Supplier has provided the Authority with such information as the Authority requires concerning:</w:t>
      </w:r>
    </w:p>
    <w:p w:rsidR="005F4C24" w:rsidRDefault="004C2B0D">
      <w:pPr>
        <w:numPr>
          <w:ilvl w:val="3"/>
          <w:numId w:val="24"/>
        </w:numPr>
        <w:pBdr>
          <w:top w:val="nil"/>
          <w:left w:val="nil"/>
          <w:bottom w:val="nil"/>
          <w:right w:val="nil"/>
          <w:between w:val="nil"/>
        </w:pBdr>
      </w:pPr>
      <w:r>
        <w:rPr>
          <w:color w:val="000000"/>
        </w:rPr>
        <w:t>the entity;</w:t>
      </w:r>
    </w:p>
    <w:p w:rsidR="005F4C24" w:rsidRDefault="004C2B0D">
      <w:pPr>
        <w:numPr>
          <w:ilvl w:val="3"/>
          <w:numId w:val="5"/>
        </w:numPr>
        <w:pBdr>
          <w:top w:val="nil"/>
          <w:left w:val="nil"/>
          <w:bottom w:val="nil"/>
          <w:right w:val="nil"/>
          <w:between w:val="nil"/>
        </w:pBdr>
      </w:pPr>
      <w:r>
        <w:rPr>
          <w:color w:val="000000"/>
        </w:rPr>
        <w:t>the arrangements with the entity; and</w:t>
      </w:r>
    </w:p>
    <w:p w:rsidR="005F4C24" w:rsidRDefault="004C2B0D">
      <w:pPr>
        <w:numPr>
          <w:ilvl w:val="3"/>
          <w:numId w:val="24"/>
        </w:numPr>
        <w:pBdr>
          <w:top w:val="nil"/>
          <w:left w:val="nil"/>
          <w:bottom w:val="nil"/>
          <w:right w:val="nil"/>
          <w:between w:val="nil"/>
        </w:pBdr>
      </w:pPr>
      <w:r>
        <w:rPr>
          <w:color w:val="000000"/>
        </w:rPr>
        <w:t>the entity’s compliance with the binding agreement; and</w:t>
      </w:r>
    </w:p>
    <w:p w:rsidR="005F4C24" w:rsidRDefault="004C2B0D">
      <w:pPr>
        <w:numPr>
          <w:ilvl w:val="3"/>
          <w:numId w:val="5"/>
        </w:numPr>
        <w:pBdr>
          <w:top w:val="nil"/>
          <w:left w:val="nil"/>
          <w:bottom w:val="nil"/>
          <w:right w:val="nil"/>
          <w:between w:val="nil"/>
        </w:pBdr>
      </w:pPr>
      <w:r>
        <w:rPr>
          <w:color w:val="000000"/>
        </w:rPr>
        <w:t>the Authority has not given the Supplier a Prohibition Notice under paragraph 1.10.</w:t>
      </w:r>
    </w:p>
    <w:p w:rsidR="005F4C24" w:rsidRDefault="004C2B0D">
      <w:pPr>
        <w:keepNext/>
        <w:pBdr>
          <w:top w:val="nil"/>
          <w:left w:val="nil"/>
          <w:bottom w:val="nil"/>
          <w:right w:val="nil"/>
          <w:between w:val="nil"/>
        </w:pBdr>
        <w:ind w:left="720"/>
        <w:rPr>
          <w:b/>
          <w:color w:val="000000"/>
        </w:rPr>
      </w:pPr>
      <w:r>
        <w:rPr>
          <w:b/>
          <w:color w:val="000000"/>
        </w:rPr>
        <w:lastRenderedPageBreak/>
        <w:t>Third-party Tools</w:t>
      </w:r>
    </w:p>
    <w:p w:rsidR="005F4C24" w:rsidRDefault="004C2B0D">
      <w:pPr>
        <w:numPr>
          <w:ilvl w:val="1"/>
          <w:numId w:val="24"/>
        </w:numPr>
        <w:pBdr>
          <w:top w:val="nil"/>
          <w:left w:val="nil"/>
          <w:bottom w:val="nil"/>
          <w:right w:val="nil"/>
          <w:between w:val="nil"/>
        </w:pBdr>
      </w:pPr>
      <w:r>
        <w:rPr>
          <w:color w:val="000000"/>
        </w:rPr>
        <w:t>The Supplier must use, and ensure that Sub-contractors use, only those Third-party Tools included in the Register of Sites, Support Locations and Third-party Tools.</w:t>
      </w:r>
    </w:p>
    <w:p w:rsidR="005F4C24" w:rsidRDefault="004C2B0D">
      <w:pPr>
        <w:keepNext/>
        <w:numPr>
          <w:ilvl w:val="1"/>
          <w:numId w:val="5"/>
        </w:numPr>
        <w:pBdr>
          <w:top w:val="nil"/>
          <w:left w:val="nil"/>
          <w:bottom w:val="nil"/>
          <w:right w:val="nil"/>
          <w:between w:val="nil"/>
        </w:pBdr>
      </w:pPr>
      <w:r>
        <w:rPr>
          <w:color w:val="000000"/>
        </w:rPr>
        <w:t>The Supplier must not, and must not allow Sub-contractors to, use:</w:t>
      </w:r>
    </w:p>
    <w:p w:rsidR="005F4C24" w:rsidRDefault="004C2B0D">
      <w:pPr>
        <w:numPr>
          <w:ilvl w:val="2"/>
          <w:numId w:val="24"/>
        </w:numPr>
        <w:pBdr>
          <w:top w:val="nil"/>
          <w:left w:val="nil"/>
          <w:bottom w:val="nil"/>
          <w:right w:val="nil"/>
          <w:between w:val="nil"/>
        </w:pBdr>
      </w:pPr>
      <w:r>
        <w:rPr>
          <w:color w:val="000000"/>
        </w:rPr>
        <w:t>a Third-party Tool other than for the activity specified for that Third-party Tool in the Register of Sites, Support Locations and Third-party Tools; or</w:t>
      </w:r>
    </w:p>
    <w:p w:rsidR="005F4C24" w:rsidRDefault="004C2B0D">
      <w:pPr>
        <w:numPr>
          <w:ilvl w:val="2"/>
          <w:numId w:val="5"/>
        </w:numPr>
        <w:pBdr>
          <w:top w:val="nil"/>
          <w:left w:val="nil"/>
          <w:bottom w:val="nil"/>
          <w:right w:val="nil"/>
          <w:between w:val="nil"/>
        </w:pBdr>
      </w:pPr>
      <w:r>
        <w:rPr>
          <w:color w:val="000000"/>
        </w:rPr>
        <w:t xml:space="preserve"> a new Third-party Tool, or replace an existing Third-party Tool, without the permission of the Authority.</w:t>
      </w:r>
    </w:p>
    <w:p w:rsidR="005F4C24" w:rsidRDefault="004C2B0D">
      <w:pPr>
        <w:keepNext/>
        <w:pBdr>
          <w:top w:val="nil"/>
          <w:left w:val="nil"/>
          <w:bottom w:val="nil"/>
          <w:right w:val="nil"/>
          <w:between w:val="nil"/>
        </w:pBdr>
        <w:ind w:left="720"/>
        <w:rPr>
          <w:b/>
          <w:color w:val="000000"/>
        </w:rPr>
      </w:pPr>
      <w:bookmarkStart w:id="87" w:name="_heading=h.meukdy" w:colFirst="0" w:colLast="0"/>
      <w:bookmarkEnd w:id="87"/>
      <w:r>
        <w:rPr>
          <w:b/>
          <w:color w:val="000000"/>
        </w:rPr>
        <w:t>Prohibited Activities</w:t>
      </w:r>
    </w:p>
    <w:p w:rsidR="005F4C24" w:rsidRDefault="004C2B0D">
      <w:pPr>
        <w:keepNext/>
        <w:numPr>
          <w:ilvl w:val="1"/>
          <w:numId w:val="24"/>
        </w:numPr>
        <w:pBdr>
          <w:top w:val="nil"/>
          <w:left w:val="nil"/>
          <w:bottom w:val="nil"/>
          <w:right w:val="nil"/>
          <w:between w:val="nil"/>
        </w:pBdr>
      </w:pPr>
      <w:bookmarkStart w:id="88" w:name="_heading=h.36ei31r" w:colFirst="0" w:colLast="0"/>
      <w:bookmarkEnd w:id="88"/>
      <w:r>
        <w:rPr>
          <w:color w:val="000000"/>
        </w:rPr>
        <w:t>The Authority may by notice in writing at any time give notice to the Supplier that it and its Sub-contractors must not undertake or permit to be undertaken some or all of the Relevant Activities or operate Support Locations (</w:t>
      </w:r>
      <w:r>
        <w:rPr>
          <w:b/>
          <w:color w:val="000000"/>
        </w:rPr>
        <w:t>Prohibited Activity</w:t>
      </w:r>
      <w:r>
        <w:rPr>
          <w:color w:val="000000"/>
        </w:rPr>
        <w:t>).</w:t>
      </w:r>
    </w:p>
    <w:p w:rsidR="005F4C24" w:rsidRDefault="004C2B0D">
      <w:pPr>
        <w:numPr>
          <w:ilvl w:val="2"/>
          <w:numId w:val="24"/>
        </w:numPr>
        <w:pBdr>
          <w:top w:val="nil"/>
          <w:left w:val="nil"/>
          <w:bottom w:val="nil"/>
          <w:right w:val="nil"/>
          <w:between w:val="nil"/>
        </w:pBdr>
      </w:pPr>
      <w:r>
        <w:rPr>
          <w:color w:val="000000"/>
        </w:rPr>
        <w:t>in any particular country or group of countries;</w:t>
      </w:r>
    </w:p>
    <w:p w:rsidR="005F4C24" w:rsidRDefault="004C2B0D">
      <w:pPr>
        <w:numPr>
          <w:ilvl w:val="2"/>
          <w:numId w:val="5"/>
        </w:numPr>
        <w:pBdr>
          <w:top w:val="nil"/>
          <w:left w:val="nil"/>
          <w:bottom w:val="nil"/>
          <w:right w:val="nil"/>
          <w:between w:val="nil"/>
        </w:pBdr>
      </w:pPr>
      <w:r>
        <w:rPr>
          <w:color w:val="000000"/>
        </w:rPr>
        <w:t>in or using facilities operated by any particular entity or group of entities; or</w:t>
      </w:r>
    </w:p>
    <w:p w:rsidR="005F4C24" w:rsidRDefault="004C2B0D">
      <w:pPr>
        <w:numPr>
          <w:ilvl w:val="2"/>
          <w:numId w:val="24"/>
        </w:numPr>
        <w:pBdr>
          <w:top w:val="nil"/>
          <w:left w:val="nil"/>
          <w:bottom w:val="nil"/>
          <w:right w:val="nil"/>
          <w:between w:val="nil"/>
        </w:pBdr>
      </w:pPr>
      <w:r>
        <w:rPr>
          <w:color w:val="000000"/>
        </w:rPr>
        <w:t>in or using any particular facility or group of facilities, whether operated by the Supplier, a Sub-contractor or a third-party entity (</w:t>
      </w:r>
      <w:r>
        <w:rPr>
          <w:b/>
          <w:color w:val="000000"/>
        </w:rPr>
        <w:t>Prohibition Notice</w:t>
      </w:r>
      <w:r>
        <w:rPr>
          <w:color w:val="000000"/>
        </w:rPr>
        <w:t>).</w:t>
      </w:r>
    </w:p>
    <w:p w:rsidR="005F4C24" w:rsidRDefault="004C2B0D">
      <w:pPr>
        <w:numPr>
          <w:ilvl w:val="1"/>
          <w:numId w:val="24"/>
        </w:numPr>
        <w:pBdr>
          <w:top w:val="nil"/>
          <w:left w:val="nil"/>
          <w:bottom w:val="nil"/>
          <w:right w:val="nil"/>
          <w:between w:val="nil"/>
        </w:pBdr>
      </w:pPr>
      <w:r>
        <w:rPr>
          <w:color w:val="000000"/>
        </w:rPr>
        <w:t xml:space="preserve">Where the Supplier or Sub-contractor, on the date of the Prohibition Notice undertakes any Relevant Activities or operates any Support </w:t>
      </w:r>
      <w:proofErr w:type="gramStart"/>
      <w:r>
        <w:rPr>
          <w:color w:val="000000"/>
        </w:rPr>
        <w:t>Locations  affected</w:t>
      </w:r>
      <w:proofErr w:type="gramEnd"/>
      <w:r>
        <w:rPr>
          <w:color w:val="000000"/>
        </w:rPr>
        <w:t xml:space="preserve"> by the notice, the Supplier must, and must procure that Sub-contractors, cease to undertake that Prohibited Activity within 40 Working Days of the date of the Prohibition Notice.</w:t>
      </w:r>
    </w:p>
    <w:p w:rsidR="005F4C24" w:rsidRDefault="004C2B0D">
      <w:pPr>
        <w:keepNext/>
        <w:numPr>
          <w:ilvl w:val="0"/>
          <w:numId w:val="5"/>
        </w:numPr>
        <w:pBdr>
          <w:top w:val="nil"/>
          <w:left w:val="nil"/>
          <w:bottom w:val="nil"/>
          <w:right w:val="nil"/>
          <w:between w:val="nil"/>
        </w:pBdr>
        <w:spacing w:before="360"/>
      </w:pPr>
      <w:r>
        <w:rPr>
          <w:b/>
          <w:color w:val="000000"/>
          <w:sz w:val="24"/>
          <w:szCs w:val="24"/>
        </w:rPr>
        <w:t>Vetting, Training and Staff Access</w:t>
      </w:r>
    </w:p>
    <w:p w:rsidR="005F4C24" w:rsidRDefault="004C2B0D">
      <w:pPr>
        <w:keepNext/>
        <w:pBdr>
          <w:top w:val="nil"/>
          <w:left w:val="nil"/>
          <w:bottom w:val="nil"/>
          <w:right w:val="nil"/>
          <w:between w:val="nil"/>
        </w:pBdr>
        <w:ind w:left="720"/>
        <w:rPr>
          <w:b/>
          <w:color w:val="000000"/>
        </w:rPr>
      </w:pPr>
      <w:r>
        <w:rPr>
          <w:b/>
          <w:color w:val="000000"/>
        </w:rPr>
        <w:t>Vetting before performing or managing Services</w:t>
      </w:r>
    </w:p>
    <w:p w:rsidR="005F4C24" w:rsidRDefault="004C2B0D">
      <w:pPr>
        <w:keepNext/>
        <w:numPr>
          <w:ilvl w:val="1"/>
          <w:numId w:val="24"/>
        </w:numPr>
        <w:pBdr>
          <w:top w:val="nil"/>
          <w:left w:val="nil"/>
          <w:bottom w:val="nil"/>
          <w:right w:val="nil"/>
          <w:between w:val="nil"/>
        </w:pBdr>
      </w:pPr>
      <w:bookmarkStart w:id="89" w:name="_heading=h.1ljsd9k" w:colFirst="0" w:colLast="0"/>
      <w:bookmarkEnd w:id="89"/>
      <w:r>
        <w:rPr>
          <w:color w:val="000000"/>
        </w:rPr>
        <w:t>The Supplier must not engage Supplier Personnel, and must ensure that Sub-contractors do not engage Sub-contractor Personnel in:</w:t>
      </w:r>
    </w:p>
    <w:p w:rsidR="005F4C24" w:rsidRDefault="004C2B0D">
      <w:pPr>
        <w:numPr>
          <w:ilvl w:val="2"/>
          <w:numId w:val="24"/>
        </w:numPr>
        <w:pBdr>
          <w:top w:val="nil"/>
          <w:left w:val="nil"/>
          <w:bottom w:val="nil"/>
          <w:right w:val="nil"/>
          <w:between w:val="nil"/>
        </w:pBdr>
      </w:pPr>
      <w:r>
        <w:rPr>
          <w:color w:val="000000"/>
        </w:rPr>
        <w:t>Development Activity;</w:t>
      </w:r>
    </w:p>
    <w:p w:rsidR="005F4C24" w:rsidRDefault="004C2B0D">
      <w:pPr>
        <w:numPr>
          <w:ilvl w:val="2"/>
          <w:numId w:val="5"/>
        </w:numPr>
        <w:pBdr>
          <w:top w:val="nil"/>
          <w:left w:val="nil"/>
          <w:bottom w:val="nil"/>
          <w:right w:val="nil"/>
          <w:between w:val="nil"/>
        </w:pBdr>
      </w:pPr>
      <w:r>
        <w:rPr>
          <w:color w:val="000000"/>
        </w:rPr>
        <w:t xml:space="preserve">any activity that provides access to the Development Environment; or </w:t>
      </w:r>
    </w:p>
    <w:p w:rsidR="005F4C24" w:rsidRDefault="004C2B0D">
      <w:pPr>
        <w:numPr>
          <w:ilvl w:val="2"/>
          <w:numId w:val="24"/>
        </w:numPr>
        <w:pBdr>
          <w:top w:val="nil"/>
          <w:left w:val="nil"/>
          <w:bottom w:val="nil"/>
          <w:right w:val="nil"/>
          <w:between w:val="nil"/>
        </w:pBdr>
      </w:pPr>
      <w:r>
        <w:rPr>
          <w:color w:val="000000"/>
        </w:rPr>
        <w:t>any activity relating to the performance and management of the Services</w:t>
      </w:r>
    </w:p>
    <w:p w:rsidR="005F4C24" w:rsidRDefault="004C2B0D">
      <w:pPr>
        <w:pStyle w:val="Heading3"/>
        <w:keepNext/>
        <w:ind w:left="720" w:firstLine="720"/>
      </w:pPr>
      <w:r>
        <w:t>unless:</w:t>
      </w:r>
    </w:p>
    <w:p w:rsidR="005F4C24" w:rsidRDefault="004C2B0D">
      <w:pPr>
        <w:numPr>
          <w:ilvl w:val="2"/>
          <w:numId w:val="24"/>
        </w:numPr>
        <w:pBdr>
          <w:top w:val="nil"/>
          <w:left w:val="nil"/>
          <w:bottom w:val="nil"/>
          <w:right w:val="nil"/>
          <w:between w:val="nil"/>
        </w:pBdr>
      </w:pPr>
      <w:r>
        <w:rPr>
          <w:color w:val="000000"/>
        </w:rPr>
        <w:t>that individual has passed the security checks listed in paragraph 2.2; or</w:t>
      </w:r>
    </w:p>
    <w:p w:rsidR="005F4C24" w:rsidRDefault="004C2B0D">
      <w:pPr>
        <w:numPr>
          <w:ilvl w:val="2"/>
          <w:numId w:val="5"/>
        </w:numPr>
        <w:pBdr>
          <w:top w:val="nil"/>
          <w:left w:val="nil"/>
          <w:bottom w:val="nil"/>
          <w:right w:val="nil"/>
          <w:between w:val="nil"/>
        </w:pBdr>
      </w:pPr>
      <w:r>
        <w:rPr>
          <w:color w:val="000000"/>
        </w:rPr>
        <w:t>the Authority has given prior written permission for a named individual to perform a specific role.</w:t>
      </w:r>
    </w:p>
    <w:p w:rsidR="005F4C24" w:rsidRDefault="004C2B0D">
      <w:pPr>
        <w:keepNext/>
        <w:numPr>
          <w:ilvl w:val="1"/>
          <w:numId w:val="24"/>
        </w:numPr>
        <w:pBdr>
          <w:top w:val="nil"/>
          <w:left w:val="nil"/>
          <w:bottom w:val="nil"/>
          <w:right w:val="nil"/>
          <w:between w:val="nil"/>
        </w:pBdr>
      </w:pPr>
      <w:bookmarkStart w:id="90" w:name="_heading=h.45jfvxd" w:colFirst="0" w:colLast="0"/>
      <w:bookmarkEnd w:id="90"/>
      <w:r>
        <w:rPr>
          <w:color w:val="000000"/>
        </w:rPr>
        <w:t>For the purposes of paragraph 2.1, the security checks are:</w:t>
      </w:r>
    </w:p>
    <w:p w:rsidR="005F4C24" w:rsidRDefault="004C2B0D">
      <w:pPr>
        <w:keepNext/>
        <w:numPr>
          <w:ilvl w:val="2"/>
          <w:numId w:val="24"/>
        </w:numPr>
        <w:pBdr>
          <w:top w:val="nil"/>
          <w:left w:val="nil"/>
          <w:bottom w:val="nil"/>
          <w:right w:val="nil"/>
          <w:between w:val="nil"/>
        </w:pBdr>
      </w:pPr>
      <w:r>
        <w:rPr>
          <w:color w:val="000000"/>
        </w:rPr>
        <w:t xml:space="preserve">The checks required for the HMG Baseline Personnel Security Standard (BPSS) to verify: </w:t>
      </w:r>
    </w:p>
    <w:p w:rsidR="005F4C24" w:rsidRDefault="004C2B0D">
      <w:pPr>
        <w:numPr>
          <w:ilvl w:val="3"/>
          <w:numId w:val="24"/>
        </w:numPr>
        <w:pBdr>
          <w:top w:val="nil"/>
          <w:left w:val="nil"/>
          <w:bottom w:val="nil"/>
          <w:right w:val="nil"/>
          <w:between w:val="nil"/>
        </w:pBdr>
      </w:pPr>
      <w:r>
        <w:rPr>
          <w:color w:val="000000"/>
        </w:rPr>
        <w:t>the individual’s identity;</w:t>
      </w:r>
    </w:p>
    <w:p w:rsidR="005F4C24" w:rsidRDefault="004C2B0D">
      <w:pPr>
        <w:numPr>
          <w:ilvl w:val="3"/>
          <w:numId w:val="11"/>
        </w:numPr>
        <w:pBdr>
          <w:top w:val="nil"/>
          <w:left w:val="nil"/>
          <w:bottom w:val="nil"/>
          <w:right w:val="nil"/>
          <w:between w:val="nil"/>
        </w:pBdr>
        <w:ind w:left="2160"/>
      </w:pPr>
      <w:r>
        <w:rPr>
          <w:color w:val="000000"/>
        </w:rPr>
        <w:lastRenderedPageBreak/>
        <w:t>where that individual will work in the United Kingdom, the individual’s nationality and immigration status so as to demonstrate that they have a right to work in the United Kingdom;</w:t>
      </w:r>
    </w:p>
    <w:p w:rsidR="005F4C24" w:rsidRDefault="004C2B0D">
      <w:pPr>
        <w:numPr>
          <w:ilvl w:val="3"/>
          <w:numId w:val="24"/>
        </w:numPr>
        <w:pBdr>
          <w:top w:val="nil"/>
          <w:left w:val="nil"/>
          <w:bottom w:val="nil"/>
          <w:right w:val="nil"/>
          <w:between w:val="nil"/>
        </w:pBdr>
      </w:pPr>
      <w:r>
        <w:rPr>
          <w:color w:val="000000"/>
        </w:rPr>
        <w:t>the individual’s previous employment history; and</w:t>
      </w:r>
    </w:p>
    <w:p w:rsidR="005F4C24" w:rsidRDefault="004C2B0D">
      <w:pPr>
        <w:numPr>
          <w:ilvl w:val="3"/>
          <w:numId w:val="5"/>
        </w:numPr>
        <w:pBdr>
          <w:top w:val="nil"/>
          <w:left w:val="nil"/>
          <w:bottom w:val="nil"/>
          <w:right w:val="nil"/>
          <w:between w:val="nil"/>
        </w:pBdr>
      </w:pPr>
      <w:r>
        <w:rPr>
          <w:color w:val="000000"/>
        </w:rPr>
        <w:t>that the individual has no Relevant Convictions;</w:t>
      </w:r>
    </w:p>
    <w:p w:rsidR="005F4C24" w:rsidRDefault="004C2B0D">
      <w:pPr>
        <w:numPr>
          <w:ilvl w:val="2"/>
          <w:numId w:val="24"/>
        </w:numPr>
        <w:pBdr>
          <w:top w:val="nil"/>
          <w:left w:val="nil"/>
          <w:bottom w:val="nil"/>
          <w:right w:val="nil"/>
          <w:between w:val="nil"/>
        </w:pBdr>
      </w:pPr>
      <w:r>
        <w:rPr>
          <w:color w:val="000000"/>
        </w:rPr>
        <w:t>national security vetting clearance to the level specified by the Authority for such individuals or such roles as the Authority may specify; or</w:t>
      </w:r>
    </w:p>
    <w:p w:rsidR="005F4C24" w:rsidRDefault="004C2B0D">
      <w:pPr>
        <w:numPr>
          <w:ilvl w:val="2"/>
          <w:numId w:val="5"/>
        </w:numPr>
        <w:pBdr>
          <w:top w:val="nil"/>
          <w:left w:val="nil"/>
          <w:bottom w:val="nil"/>
          <w:right w:val="nil"/>
          <w:between w:val="nil"/>
        </w:pBdr>
      </w:pPr>
      <w:r>
        <w:rPr>
          <w:color w:val="000000"/>
        </w:rPr>
        <w:t>such other checks for the Supplier Personnel of Sub-contractors as the Authority may specify.</w:t>
      </w:r>
    </w:p>
    <w:p w:rsidR="005F4C24" w:rsidRDefault="004C2B0D">
      <w:pPr>
        <w:keepNext/>
        <w:pBdr>
          <w:top w:val="nil"/>
          <w:left w:val="nil"/>
          <w:bottom w:val="nil"/>
          <w:right w:val="nil"/>
          <w:between w:val="nil"/>
        </w:pBdr>
        <w:ind w:left="720"/>
        <w:rPr>
          <w:b/>
          <w:color w:val="000000"/>
        </w:rPr>
      </w:pPr>
      <w:r>
        <w:rPr>
          <w:b/>
          <w:color w:val="000000"/>
        </w:rPr>
        <w:t>Annual training</w:t>
      </w:r>
    </w:p>
    <w:p w:rsidR="005F4C24" w:rsidRDefault="004C2B0D">
      <w:pPr>
        <w:keepNext/>
        <w:numPr>
          <w:ilvl w:val="1"/>
          <w:numId w:val="24"/>
        </w:numPr>
        <w:pBdr>
          <w:top w:val="nil"/>
          <w:left w:val="nil"/>
          <w:bottom w:val="nil"/>
          <w:right w:val="nil"/>
          <w:between w:val="nil"/>
        </w:pBdr>
      </w:pPr>
      <w:r>
        <w:rPr>
          <w:color w:val="000000"/>
        </w:rPr>
        <w:t>The Supplier must ensure, and ensure that Sub-contractors ensure, that all Supplier Personnel, complete and pass security training at least once every calendar year that covers:</w:t>
      </w:r>
    </w:p>
    <w:p w:rsidR="005F4C24" w:rsidRDefault="004C2B0D">
      <w:pPr>
        <w:numPr>
          <w:ilvl w:val="2"/>
          <w:numId w:val="24"/>
        </w:numPr>
        <w:pBdr>
          <w:top w:val="nil"/>
          <w:left w:val="nil"/>
          <w:bottom w:val="nil"/>
          <w:right w:val="nil"/>
          <w:between w:val="nil"/>
        </w:pBdr>
      </w:pPr>
      <w:r>
        <w:rPr>
          <w:color w:val="000000"/>
        </w:rPr>
        <w:t>General training concerning security and data handling; and</w:t>
      </w:r>
    </w:p>
    <w:p w:rsidR="005F4C24" w:rsidRDefault="004C2B0D">
      <w:pPr>
        <w:numPr>
          <w:ilvl w:val="2"/>
          <w:numId w:val="5"/>
        </w:numPr>
        <w:pBdr>
          <w:top w:val="nil"/>
          <w:left w:val="nil"/>
          <w:bottom w:val="nil"/>
          <w:right w:val="nil"/>
          <w:between w:val="nil"/>
        </w:pBdr>
      </w:pPr>
      <w:r>
        <w:rPr>
          <w:color w:val="000000"/>
        </w:rPr>
        <w:t>Phishing, including the dangers from ransomware and other malware.</w:t>
      </w:r>
    </w:p>
    <w:p w:rsidR="005F4C24" w:rsidRDefault="004C2B0D">
      <w:pPr>
        <w:keepNext/>
        <w:pBdr>
          <w:top w:val="nil"/>
          <w:left w:val="nil"/>
          <w:bottom w:val="nil"/>
          <w:right w:val="nil"/>
          <w:between w:val="nil"/>
        </w:pBdr>
        <w:ind w:left="720"/>
        <w:rPr>
          <w:b/>
          <w:color w:val="000000"/>
        </w:rPr>
      </w:pPr>
      <w:r>
        <w:rPr>
          <w:b/>
          <w:color w:val="000000"/>
        </w:rPr>
        <w:t>Staff access</w:t>
      </w:r>
    </w:p>
    <w:p w:rsidR="005F4C24" w:rsidRDefault="004C2B0D">
      <w:pPr>
        <w:numPr>
          <w:ilvl w:val="1"/>
          <w:numId w:val="24"/>
        </w:numPr>
        <w:pBdr>
          <w:top w:val="nil"/>
          <w:left w:val="nil"/>
          <w:bottom w:val="nil"/>
          <w:right w:val="nil"/>
          <w:between w:val="nil"/>
        </w:pBdr>
      </w:pPr>
      <w:r>
        <w:rPr>
          <w:color w:val="000000"/>
        </w:rPr>
        <w:t>The Supplier must ensure, and ensure that Sub-contractors ensure, that individual Supplier Personnel can access only the Authority Data necessary to allow individuals to perform their role and fulfil their responsibilities in the provision of the Services.</w:t>
      </w:r>
    </w:p>
    <w:p w:rsidR="005F4C24" w:rsidRDefault="004C2B0D">
      <w:pPr>
        <w:numPr>
          <w:ilvl w:val="1"/>
          <w:numId w:val="5"/>
        </w:numPr>
        <w:pBdr>
          <w:top w:val="nil"/>
          <w:left w:val="nil"/>
          <w:bottom w:val="nil"/>
          <w:right w:val="nil"/>
          <w:between w:val="nil"/>
        </w:pBdr>
      </w:pPr>
      <w:r>
        <w:rPr>
          <w:color w:val="000000"/>
        </w:rPr>
        <w:t>The Supplier must ensure, and ensure that Sub-contractors ensure, that where individual Supplier Personnel no longer require access to the Authority Data or any part of the Authority Data, their access to the Authority Data or that part of the Authority Data is revoked immediately when their requirement to access Authority Data ceases.</w:t>
      </w:r>
    </w:p>
    <w:p w:rsidR="005F4C24" w:rsidRDefault="004C2B0D">
      <w:pPr>
        <w:numPr>
          <w:ilvl w:val="1"/>
          <w:numId w:val="24"/>
        </w:numPr>
        <w:pBdr>
          <w:top w:val="nil"/>
          <w:left w:val="nil"/>
          <w:bottom w:val="nil"/>
          <w:right w:val="nil"/>
          <w:between w:val="nil"/>
        </w:pBdr>
      </w:pPr>
      <w:r>
        <w:rPr>
          <w:color w:val="000000"/>
        </w:rPr>
        <w:t>Where requested by the Authority, the Supplier must remove, and must ensure that Sub-contractors remove, an individual Supplier Personnel’s access to the Authority Data, or part of that Authority Data specified by the Authority, as soon as practicable and in any event within 24 hours of the request.</w:t>
      </w:r>
    </w:p>
    <w:p w:rsidR="005F4C24" w:rsidRDefault="004C2B0D">
      <w:pPr>
        <w:keepNext/>
        <w:pBdr>
          <w:top w:val="nil"/>
          <w:left w:val="nil"/>
          <w:bottom w:val="nil"/>
          <w:right w:val="nil"/>
          <w:between w:val="nil"/>
        </w:pBdr>
        <w:ind w:left="720"/>
        <w:rPr>
          <w:b/>
          <w:color w:val="000000"/>
        </w:rPr>
      </w:pPr>
      <w:r>
        <w:rPr>
          <w:b/>
          <w:color w:val="000000"/>
        </w:rPr>
        <w:t>Exception for certain Sub-contractors</w:t>
      </w:r>
    </w:p>
    <w:p w:rsidR="005F4C24" w:rsidRDefault="004C2B0D">
      <w:pPr>
        <w:keepNext/>
        <w:numPr>
          <w:ilvl w:val="1"/>
          <w:numId w:val="24"/>
        </w:numPr>
        <w:pBdr>
          <w:top w:val="nil"/>
          <w:left w:val="nil"/>
          <w:bottom w:val="nil"/>
          <w:right w:val="nil"/>
          <w:between w:val="nil"/>
        </w:pBdr>
      </w:pPr>
      <w:r>
        <w:rPr>
          <w:color w:val="000000"/>
        </w:rPr>
        <w:t>Where the Supplier considers it cannot ensure that a Sub-contractor will undertake the relevant security checks on any Sub-contractor Personnel, it must:</w:t>
      </w:r>
    </w:p>
    <w:p w:rsidR="005F4C24" w:rsidRDefault="004C2B0D">
      <w:pPr>
        <w:numPr>
          <w:ilvl w:val="2"/>
          <w:numId w:val="24"/>
        </w:numPr>
        <w:pBdr>
          <w:top w:val="nil"/>
          <w:left w:val="nil"/>
          <w:bottom w:val="nil"/>
          <w:right w:val="nil"/>
          <w:between w:val="nil"/>
        </w:pBdr>
      </w:pPr>
      <w:r>
        <w:rPr>
          <w:color w:val="000000"/>
        </w:rPr>
        <w:t xml:space="preserve">as soon as practicable, and in any event within </w:t>
      </w:r>
      <w:r>
        <w:rPr>
          <w:highlight w:val="white"/>
        </w:rPr>
        <w:t>15</w:t>
      </w:r>
      <w:r>
        <w:rPr>
          <w:color w:val="000000"/>
        </w:rPr>
        <w:t xml:space="preserve"> Working Days of becoming aware of the issue, notify the Authority;</w:t>
      </w:r>
    </w:p>
    <w:p w:rsidR="005F4C24" w:rsidRDefault="004C2B0D">
      <w:pPr>
        <w:numPr>
          <w:ilvl w:val="2"/>
          <w:numId w:val="5"/>
        </w:numPr>
        <w:pBdr>
          <w:top w:val="nil"/>
          <w:left w:val="nil"/>
          <w:bottom w:val="nil"/>
          <w:right w:val="nil"/>
          <w:between w:val="nil"/>
        </w:pBdr>
      </w:pPr>
      <w:r>
        <w:rPr>
          <w:color w:val="000000"/>
        </w:rPr>
        <w:t>provide such information relating to the Sub-contractor, its vetting processes and the roles the affected Sub-contractor Personnel will perform as the Authority reasonably requires; and</w:t>
      </w:r>
    </w:p>
    <w:p w:rsidR="005F4C24" w:rsidRDefault="004C2B0D">
      <w:pPr>
        <w:numPr>
          <w:ilvl w:val="2"/>
          <w:numId w:val="24"/>
        </w:numPr>
        <w:pBdr>
          <w:top w:val="nil"/>
          <w:left w:val="nil"/>
          <w:bottom w:val="nil"/>
          <w:right w:val="nil"/>
          <w:between w:val="nil"/>
        </w:pBdr>
      </w:pPr>
      <w:r>
        <w:rPr>
          <w:color w:val="000000"/>
        </w:rPr>
        <w:t>comply, at the Supplier’s cost, with all directions the Authority may provide concerning the vetting of the affected Sub-contractor Personnel and the management of the Sub-contractor.</w:t>
      </w:r>
    </w:p>
    <w:p w:rsidR="005F4C24" w:rsidRDefault="004C2B0D">
      <w:pPr>
        <w:keepNext/>
        <w:numPr>
          <w:ilvl w:val="0"/>
          <w:numId w:val="5"/>
        </w:numPr>
        <w:pBdr>
          <w:top w:val="nil"/>
          <w:left w:val="nil"/>
          <w:bottom w:val="nil"/>
          <w:right w:val="nil"/>
          <w:between w:val="nil"/>
        </w:pBdr>
        <w:spacing w:before="360"/>
      </w:pPr>
      <w:bookmarkStart w:id="91" w:name="_heading=h.2koq656" w:colFirst="0" w:colLast="0"/>
      <w:bookmarkEnd w:id="91"/>
      <w:r>
        <w:rPr>
          <w:b/>
          <w:color w:val="000000"/>
          <w:sz w:val="24"/>
          <w:szCs w:val="24"/>
        </w:rPr>
        <w:lastRenderedPageBreak/>
        <w:t>End-user Devices</w:t>
      </w:r>
    </w:p>
    <w:p w:rsidR="005F4C24" w:rsidRDefault="004C2B0D">
      <w:pPr>
        <w:keepNext/>
        <w:numPr>
          <w:ilvl w:val="1"/>
          <w:numId w:val="24"/>
        </w:numPr>
        <w:pBdr>
          <w:top w:val="nil"/>
          <w:left w:val="nil"/>
          <w:bottom w:val="nil"/>
          <w:right w:val="nil"/>
          <w:between w:val="nil"/>
        </w:pBdr>
      </w:pPr>
      <w:r>
        <w:rPr>
          <w:color w:val="000000"/>
        </w:rPr>
        <w:t>The Supplier must manage, and must ensure that all Sub-contractors manage, all End-user Devices on which Authority Data or Code is stored or processed in accordance the following requirements:</w:t>
      </w:r>
    </w:p>
    <w:p w:rsidR="005F4C24" w:rsidRDefault="004C2B0D">
      <w:pPr>
        <w:numPr>
          <w:ilvl w:val="2"/>
          <w:numId w:val="24"/>
        </w:numPr>
        <w:pBdr>
          <w:top w:val="nil"/>
          <w:left w:val="nil"/>
          <w:bottom w:val="nil"/>
          <w:right w:val="nil"/>
          <w:between w:val="nil"/>
        </w:pBdr>
      </w:pPr>
      <w:r>
        <w:rPr>
          <w:color w:val="000000"/>
        </w:rPr>
        <w:t>the operating system and any applications that store, process or have access to Authority Data or Code must be in current support by the vendor, or the relevant community in the case of open source operating systems or applications;</w:t>
      </w:r>
    </w:p>
    <w:p w:rsidR="005F4C24" w:rsidRDefault="004C2B0D">
      <w:pPr>
        <w:numPr>
          <w:ilvl w:val="2"/>
          <w:numId w:val="5"/>
        </w:numPr>
        <w:pBdr>
          <w:top w:val="nil"/>
          <w:left w:val="nil"/>
          <w:bottom w:val="nil"/>
          <w:right w:val="nil"/>
          <w:between w:val="nil"/>
        </w:pBdr>
      </w:pPr>
      <w:r>
        <w:rPr>
          <w:color w:val="000000"/>
        </w:rPr>
        <w:t>users must authenticate before gaining access;</w:t>
      </w:r>
    </w:p>
    <w:p w:rsidR="005F4C24" w:rsidRDefault="004C2B0D">
      <w:pPr>
        <w:numPr>
          <w:ilvl w:val="2"/>
          <w:numId w:val="24"/>
        </w:numPr>
        <w:pBdr>
          <w:top w:val="nil"/>
          <w:left w:val="nil"/>
          <w:bottom w:val="nil"/>
          <w:right w:val="nil"/>
          <w:between w:val="nil"/>
        </w:pBdr>
      </w:pPr>
      <w:r>
        <w:rPr>
          <w:color w:val="000000"/>
        </w:rPr>
        <w:t xml:space="preserve">all Authority Data and Code must be encrypted using </w:t>
      </w:r>
      <w:proofErr w:type="spellStart"/>
      <w:proofErr w:type="gramStart"/>
      <w:r>
        <w:rPr>
          <w:color w:val="000000"/>
        </w:rPr>
        <w:t>a</w:t>
      </w:r>
      <w:proofErr w:type="spellEnd"/>
      <w:proofErr w:type="gramEnd"/>
      <w:r>
        <w:rPr>
          <w:color w:val="000000"/>
        </w:rPr>
        <w:t xml:space="preserve"> encryption tool agreed to by the Authority;</w:t>
      </w:r>
    </w:p>
    <w:p w:rsidR="005F4C24" w:rsidRDefault="004C2B0D">
      <w:pPr>
        <w:numPr>
          <w:ilvl w:val="2"/>
          <w:numId w:val="5"/>
        </w:numPr>
        <w:pBdr>
          <w:top w:val="nil"/>
          <w:left w:val="nil"/>
          <w:bottom w:val="nil"/>
          <w:right w:val="nil"/>
          <w:between w:val="nil"/>
        </w:pBdr>
      </w:pPr>
      <w:r>
        <w:rPr>
          <w:color w:val="000000"/>
        </w:rPr>
        <w:t>the End-user Device must lock and require any user to re-authenticate after a period of time that is proportionate to the risk environment, during which the End-user Device is inactive;</w:t>
      </w:r>
    </w:p>
    <w:p w:rsidR="005F4C24" w:rsidRDefault="004C2B0D">
      <w:pPr>
        <w:numPr>
          <w:ilvl w:val="2"/>
          <w:numId w:val="24"/>
        </w:numPr>
        <w:pBdr>
          <w:top w:val="nil"/>
          <w:left w:val="nil"/>
          <w:bottom w:val="nil"/>
          <w:right w:val="nil"/>
          <w:between w:val="nil"/>
        </w:pBdr>
      </w:pPr>
      <w:r>
        <w:rPr>
          <w:color w:val="000000"/>
        </w:rPr>
        <w:t>the End-User Device must be managed in a way that allows for the application of technical policies and controls over applications that have access to Authority Data and Code to ensure the security of that Authority Data and Code;</w:t>
      </w:r>
    </w:p>
    <w:p w:rsidR="005F4C24" w:rsidRDefault="004C2B0D">
      <w:pPr>
        <w:numPr>
          <w:ilvl w:val="2"/>
          <w:numId w:val="5"/>
        </w:numPr>
        <w:pBdr>
          <w:top w:val="nil"/>
          <w:left w:val="nil"/>
          <w:bottom w:val="nil"/>
          <w:right w:val="nil"/>
          <w:between w:val="nil"/>
        </w:pBdr>
      </w:pPr>
      <w:r>
        <w:rPr>
          <w:color w:val="000000"/>
        </w:rPr>
        <w:t>the Suppler or Sub-contractor, as applicable, can, without physical access to the End-user Device, remove or make inaccessible all Authority Data or Code stored on the device and prevent any user or group of users from accessing the device;</w:t>
      </w:r>
    </w:p>
    <w:p w:rsidR="005F4C24" w:rsidRDefault="004C2B0D">
      <w:pPr>
        <w:numPr>
          <w:ilvl w:val="2"/>
          <w:numId w:val="24"/>
        </w:numPr>
        <w:pBdr>
          <w:top w:val="nil"/>
          <w:left w:val="nil"/>
          <w:bottom w:val="nil"/>
          <w:right w:val="nil"/>
          <w:between w:val="nil"/>
        </w:pBdr>
      </w:pPr>
      <w:r>
        <w:rPr>
          <w:color w:val="000000"/>
        </w:rPr>
        <w:t>all End-user Devices are within the scope of any Relevant Certification.</w:t>
      </w:r>
    </w:p>
    <w:p w:rsidR="005F4C24" w:rsidRDefault="004C2B0D">
      <w:pPr>
        <w:numPr>
          <w:ilvl w:val="1"/>
          <w:numId w:val="24"/>
        </w:numPr>
        <w:pBdr>
          <w:top w:val="nil"/>
          <w:left w:val="nil"/>
          <w:bottom w:val="nil"/>
          <w:right w:val="nil"/>
          <w:between w:val="nil"/>
        </w:pBdr>
      </w:pPr>
      <w:r>
        <w:rPr>
          <w:color w:val="000000"/>
        </w:rPr>
        <w:t>The Supplier must comply, and ensure that all Sub-contractors comply, with the recommendations in NCSC Device Guidance as if those recommendations were incorporated as specific obligations under this Contract.</w:t>
      </w:r>
    </w:p>
    <w:p w:rsidR="005F4C24" w:rsidRDefault="004C2B0D">
      <w:pPr>
        <w:numPr>
          <w:ilvl w:val="1"/>
          <w:numId w:val="5"/>
        </w:numPr>
        <w:pBdr>
          <w:top w:val="nil"/>
          <w:left w:val="nil"/>
          <w:bottom w:val="nil"/>
          <w:right w:val="nil"/>
          <w:between w:val="nil"/>
        </w:pBdr>
      </w:pPr>
      <w:r>
        <w:rPr>
          <w:color w:val="000000"/>
        </w:rPr>
        <w:t>Where there is any conflict between the requirements of this Schedule</w:t>
      </w:r>
      <w:r>
        <w:t xml:space="preserve"> </w:t>
      </w:r>
      <w:r>
        <w:rPr>
          <w:color w:val="000000"/>
        </w:rPr>
        <w:t>and the requirements of the NCSC Device Guidance, the requirements of this Schedule take precedence.</w:t>
      </w:r>
    </w:p>
    <w:p w:rsidR="005F4C24" w:rsidRDefault="004C2B0D">
      <w:pPr>
        <w:keepNext/>
        <w:numPr>
          <w:ilvl w:val="0"/>
          <w:numId w:val="5"/>
        </w:numPr>
        <w:pBdr>
          <w:top w:val="nil"/>
          <w:left w:val="nil"/>
          <w:bottom w:val="nil"/>
          <w:right w:val="nil"/>
          <w:between w:val="nil"/>
        </w:pBdr>
        <w:spacing w:before="360"/>
      </w:pPr>
      <w:bookmarkStart w:id="92" w:name="_heading=h.zu0gcz" w:colFirst="0" w:colLast="0"/>
      <w:bookmarkEnd w:id="92"/>
      <w:r>
        <w:rPr>
          <w:b/>
          <w:color w:val="000000"/>
          <w:sz w:val="24"/>
          <w:szCs w:val="24"/>
        </w:rPr>
        <w:t>Hardware and software support</w:t>
      </w:r>
    </w:p>
    <w:p w:rsidR="005F4C24" w:rsidRDefault="004C2B0D">
      <w:pPr>
        <w:numPr>
          <w:ilvl w:val="1"/>
          <w:numId w:val="24"/>
        </w:numPr>
        <w:pBdr>
          <w:top w:val="nil"/>
          <w:left w:val="nil"/>
          <w:bottom w:val="nil"/>
          <w:right w:val="nil"/>
          <w:between w:val="nil"/>
        </w:pBdr>
      </w:pPr>
      <w:r>
        <w:rPr>
          <w:color w:val="000000"/>
        </w:rPr>
        <w:t>The Supplier must ensure that all software used to provide the Services remains at all times in full security support, including any extended or bespoke security support.</w:t>
      </w:r>
    </w:p>
    <w:p w:rsidR="005F4C24" w:rsidRDefault="004C2B0D">
      <w:pPr>
        <w:numPr>
          <w:ilvl w:val="1"/>
          <w:numId w:val="5"/>
        </w:numPr>
        <w:pBdr>
          <w:top w:val="nil"/>
          <w:left w:val="nil"/>
          <w:bottom w:val="nil"/>
          <w:right w:val="nil"/>
          <w:between w:val="nil"/>
        </w:pBdr>
      </w:pPr>
      <w:r>
        <w:rPr>
          <w:color w:val="000000"/>
        </w:rPr>
        <w:t>The Supplier must produce and maintain a register of all software that form the Supplier Information Management System (</w:t>
      </w:r>
      <w:r>
        <w:rPr>
          <w:b/>
          <w:color w:val="000000"/>
        </w:rPr>
        <w:t>Support Register</w:t>
      </w:r>
      <w:r>
        <w:rPr>
          <w:color w:val="000000"/>
        </w:rPr>
        <w:t>).</w:t>
      </w:r>
    </w:p>
    <w:p w:rsidR="005F4C24" w:rsidRDefault="004C2B0D">
      <w:pPr>
        <w:keepNext/>
        <w:numPr>
          <w:ilvl w:val="1"/>
          <w:numId w:val="24"/>
        </w:numPr>
        <w:pBdr>
          <w:top w:val="nil"/>
          <w:left w:val="nil"/>
          <w:bottom w:val="nil"/>
          <w:right w:val="nil"/>
          <w:between w:val="nil"/>
        </w:pBdr>
      </w:pPr>
      <w:r>
        <w:rPr>
          <w:color w:val="000000"/>
        </w:rPr>
        <w:t>The Support Register must include in respect of each item of software:</w:t>
      </w:r>
    </w:p>
    <w:p w:rsidR="005F4C24" w:rsidRDefault="004C2B0D">
      <w:pPr>
        <w:numPr>
          <w:ilvl w:val="2"/>
          <w:numId w:val="24"/>
        </w:numPr>
        <w:pBdr>
          <w:top w:val="nil"/>
          <w:left w:val="nil"/>
          <w:bottom w:val="nil"/>
          <w:right w:val="nil"/>
          <w:between w:val="nil"/>
        </w:pBdr>
      </w:pPr>
      <w:r>
        <w:rPr>
          <w:color w:val="000000"/>
        </w:rPr>
        <w:t>the date, so far as it is known, that the item will cease to be in mainstream security support; and</w:t>
      </w:r>
    </w:p>
    <w:p w:rsidR="005F4C24" w:rsidRDefault="004C2B0D">
      <w:pPr>
        <w:numPr>
          <w:ilvl w:val="2"/>
          <w:numId w:val="5"/>
        </w:numPr>
        <w:pBdr>
          <w:top w:val="nil"/>
          <w:left w:val="nil"/>
          <w:bottom w:val="nil"/>
          <w:right w:val="nil"/>
          <w:between w:val="nil"/>
        </w:pBdr>
      </w:pPr>
      <w:r>
        <w:rPr>
          <w:color w:val="000000"/>
        </w:rPr>
        <w:t>the Supplier’s plans to upgrade the item before it ceases to be in mainstream security support.</w:t>
      </w:r>
    </w:p>
    <w:p w:rsidR="005F4C24" w:rsidRDefault="004C2B0D">
      <w:pPr>
        <w:keepNext/>
        <w:numPr>
          <w:ilvl w:val="1"/>
          <w:numId w:val="24"/>
        </w:numPr>
        <w:pBdr>
          <w:top w:val="nil"/>
          <w:left w:val="nil"/>
          <w:bottom w:val="nil"/>
          <w:right w:val="nil"/>
          <w:between w:val="nil"/>
        </w:pBdr>
      </w:pPr>
      <w:r>
        <w:rPr>
          <w:color w:val="000000"/>
        </w:rPr>
        <w:lastRenderedPageBreak/>
        <w:t>The Supplier must:</w:t>
      </w:r>
    </w:p>
    <w:p w:rsidR="005F4C24" w:rsidRDefault="004C2B0D">
      <w:pPr>
        <w:keepNext/>
        <w:numPr>
          <w:ilvl w:val="2"/>
          <w:numId w:val="24"/>
        </w:numPr>
        <w:pBdr>
          <w:top w:val="nil"/>
          <w:left w:val="nil"/>
          <w:bottom w:val="nil"/>
          <w:right w:val="nil"/>
          <w:between w:val="nil"/>
        </w:pBdr>
      </w:pPr>
      <w:r>
        <w:rPr>
          <w:color w:val="000000"/>
        </w:rPr>
        <w:t>review and update the Support Register:</w:t>
      </w:r>
    </w:p>
    <w:p w:rsidR="005F4C24" w:rsidRDefault="004C2B0D">
      <w:pPr>
        <w:numPr>
          <w:ilvl w:val="3"/>
          <w:numId w:val="24"/>
        </w:numPr>
        <w:pBdr>
          <w:top w:val="nil"/>
          <w:left w:val="nil"/>
          <w:bottom w:val="nil"/>
          <w:right w:val="nil"/>
          <w:between w:val="nil"/>
        </w:pBdr>
      </w:pPr>
      <w:r>
        <w:rPr>
          <w:color w:val="000000"/>
        </w:rPr>
        <w:t>within ten Working Days of becoming aware of the date on which, or any change to the date on which, any item of software will cease to be in mainstream security report;</w:t>
      </w:r>
    </w:p>
    <w:p w:rsidR="005F4C24" w:rsidRDefault="004C2B0D">
      <w:pPr>
        <w:numPr>
          <w:ilvl w:val="3"/>
          <w:numId w:val="5"/>
        </w:numPr>
        <w:pBdr>
          <w:top w:val="nil"/>
          <w:left w:val="nil"/>
          <w:bottom w:val="nil"/>
          <w:right w:val="nil"/>
          <w:between w:val="nil"/>
        </w:pBdr>
      </w:pPr>
      <w:r>
        <w:rPr>
          <w:color w:val="000000"/>
        </w:rPr>
        <w:t>within ten Working Days of introducing new software, or removing existing software, from the Supplier Information Management System; and</w:t>
      </w:r>
    </w:p>
    <w:p w:rsidR="005F4C24" w:rsidRDefault="004C2B0D">
      <w:pPr>
        <w:numPr>
          <w:ilvl w:val="3"/>
          <w:numId w:val="24"/>
        </w:numPr>
        <w:pBdr>
          <w:top w:val="nil"/>
          <w:left w:val="nil"/>
          <w:bottom w:val="nil"/>
          <w:right w:val="nil"/>
          <w:between w:val="nil"/>
        </w:pBdr>
      </w:pPr>
      <w:r>
        <w:rPr>
          <w:color w:val="000000"/>
        </w:rPr>
        <w:t>at least once every 12 months;</w:t>
      </w:r>
    </w:p>
    <w:p w:rsidR="005F4C24" w:rsidRDefault="004C2B0D">
      <w:pPr>
        <w:keepNext/>
        <w:numPr>
          <w:ilvl w:val="2"/>
          <w:numId w:val="24"/>
        </w:numPr>
        <w:pBdr>
          <w:top w:val="nil"/>
          <w:left w:val="nil"/>
          <w:bottom w:val="nil"/>
          <w:right w:val="nil"/>
          <w:between w:val="nil"/>
        </w:pBdr>
      </w:pPr>
      <w:r>
        <w:rPr>
          <w:color w:val="000000"/>
        </w:rPr>
        <w:t>provide the Authority with a copy of the Support Register:</w:t>
      </w:r>
    </w:p>
    <w:p w:rsidR="005F4C24" w:rsidRDefault="004C2B0D">
      <w:pPr>
        <w:numPr>
          <w:ilvl w:val="3"/>
          <w:numId w:val="24"/>
        </w:numPr>
        <w:pBdr>
          <w:top w:val="nil"/>
          <w:left w:val="nil"/>
          <w:bottom w:val="nil"/>
          <w:right w:val="nil"/>
          <w:between w:val="nil"/>
        </w:pBdr>
      </w:pPr>
      <w:r>
        <w:rPr>
          <w:color w:val="000000"/>
        </w:rPr>
        <w:t>whenever it updates the Support Register; and</w:t>
      </w:r>
    </w:p>
    <w:p w:rsidR="005F4C24" w:rsidRDefault="004C2B0D">
      <w:pPr>
        <w:numPr>
          <w:ilvl w:val="3"/>
          <w:numId w:val="5"/>
        </w:numPr>
        <w:pBdr>
          <w:top w:val="nil"/>
          <w:left w:val="nil"/>
          <w:bottom w:val="nil"/>
          <w:right w:val="nil"/>
          <w:between w:val="nil"/>
        </w:pBdr>
      </w:pPr>
      <w:r>
        <w:rPr>
          <w:color w:val="000000"/>
        </w:rPr>
        <w:t>otherwise when the Authority requests.</w:t>
      </w:r>
    </w:p>
    <w:p w:rsidR="005F4C24" w:rsidRDefault="004C2B0D">
      <w:pPr>
        <w:keepNext/>
        <w:numPr>
          <w:ilvl w:val="1"/>
          <w:numId w:val="24"/>
        </w:numPr>
        <w:pBdr>
          <w:top w:val="nil"/>
          <w:left w:val="nil"/>
          <w:bottom w:val="nil"/>
          <w:right w:val="nil"/>
          <w:between w:val="nil"/>
        </w:pBdr>
      </w:pPr>
      <w:r>
        <w:rPr>
          <w:color w:val="000000"/>
        </w:rPr>
        <w:t>Where any element of the Developed System consists of COTS Software, the Supplier shall ensure:</w:t>
      </w:r>
    </w:p>
    <w:p w:rsidR="005F4C24" w:rsidRDefault="004C2B0D">
      <w:pPr>
        <w:numPr>
          <w:ilvl w:val="2"/>
          <w:numId w:val="24"/>
        </w:numPr>
        <w:pBdr>
          <w:top w:val="nil"/>
          <w:left w:val="nil"/>
          <w:bottom w:val="nil"/>
          <w:right w:val="nil"/>
          <w:between w:val="nil"/>
        </w:pBdr>
      </w:pPr>
      <w:r>
        <w:rPr>
          <w:color w:val="000000"/>
        </w:rPr>
        <w:t>those elements are always in mainstream or extended security support from the relevant vendor; and</w:t>
      </w:r>
    </w:p>
    <w:p w:rsidR="005F4C24" w:rsidRDefault="004C2B0D">
      <w:pPr>
        <w:numPr>
          <w:ilvl w:val="2"/>
          <w:numId w:val="5"/>
        </w:numPr>
        <w:pBdr>
          <w:top w:val="nil"/>
          <w:left w:val="nil"/>
          <w:bottom w:val="nil"/>
          <w:right w:val="nil"/>
          <w:between w:val="nil"/>
        </w:pBdr>
      </w:pPr>
      <w:r>
        <w:rPr>
          <w:color w:val="000000"/>
        </w:rPr>
        <w:t>the COTS Software is not more than one version or major release behind the latest version of the software.</w:t>
      </w:r>
    </w:p>
    <w:p w:rsidR="005F4C24" w:rsidRDefault="004C2B0D">
      <w:pPr>
        <w:keepNext/>
        <w:numPr>
          <w:ilvl w:val="1"/>
          <w:numId w:val="24"/>
        </w:numPr>
        <w:pBdr>
          <w:top w:val="nil"/>
          <w:left w:val="nil"/>
          <w:bottom w:val="nil"/>
          <w:right w:val="nil"/>
          <w:between w:val="nil"/>
        </w:pBdr>
      </w:pPr>
      <w:r>
        <w:rPr>
          <w:color w:val="000000"/>
        </w:rPr>
        <w:t>The Supplier shall ensure that all hardware used to provide the Services, whether used by the Supplier or any Sub-contractor is, at all times, remains in mainstream vendor support, that is, that in respect of the hardware, the vendor continues to provide:</w:t>
      </w:r>
    </w:p>
    <w:p w:rsidR="005F4C24" w:rsidRDefault="004C2B0D">
      <w:pPr>
        <w:numPr>
          <w:ilvl w:val="2"/>
          <w:numId w:val="24"/>
        </w:numPr>
        <w:pBdr>
          <w:top w:val="nil"/>
          <w:left w:val="nil"/>
          <w:bottom w:val="nil"/>
          <w:right w:val="nil"/>
          <w:between w:val="nil"/>
        </w:pBdr>
      </w:pPr>
      <w:r>
        <w:rPr>
          <w:color w:val="000000"/>
        </w:rPr>
        <w:t>regular firmware updates to the hardware; and</w:t>
      </w:r>
    </w:p>
    <w:p w:rsidR="005F4C24" w:rsidRDefault="004C2B0D">
      <w:pPr>
        <w:numPr>
          <w:ilvl w:val="2"/>
          <w:numId w:val="5"/>
        </w:numPr>
        <w:pBdr>
          <w:top w:val="nil"/>
          <w:left w:val="nil"/>
          <w:bottom w:val="nil"/>
          <w:right w:val="nil"/>
          <w:between w:val="nil"/>
        </w:pBdr>
      </w:pPr>
      <w:r>
        <w:rPr>
          <w:color w:val="000000"/>
        </w:rPr>
        <w:t>a physical repair or replacement service for the hardware.</w:t>
      </w:r>
    </w:p>
    <w:p w:rsidR="005F4C24" w:rsidRDefault="004C2B0D">
      <w:pPr>
        <w:keepNext/>
        <w:numPr>
          <w:ilvl w:val="0"/>
          <w:numId w:val="5"/>
        </w:numPr>
        <w:pBdr>
          <w:top w:val="nil"/>
          <w:left w:val="nil"/>
          <w:bottom w:val="nil"/>
          <w:right w:val="nil"/>
          <w:between w:val="nil"/>
        </w:pBdr>
        <w:spacing w:before="360"/>
      </w:pPr>
      <w:bookmarkStart w:id="93" w:name="_heading=h.3jtnz0s" w:colFirst="0" w:colLast="0"/>
      <w:bookmarkEnd w:id="93"/>
      <w:r>
        <w:rPr>
          <w:b/>
          <w:color w:val="000000"/>
          <w:sz w:val="24"/>
          <w:szCs w:val="24"/>
        </w:rPr>
        <w:t>Encryption</w:t>
      </w:r>
    </w:p>
    <w:p w:rsidR="005F4C24" w:rsidRDefault="004C2B0D">
      <w:pPr>
        <w:keepNext/>
        <w:numPr>
          <w:ilvl w:val="1"/>
          <w:numId w:val="24"/>
        </w:numPr>
        <w:pBdr>
          <w:top w:val="nil"/>
          <w:left w:val="nil"/>
          <w:bottom w:val="nil"/>
          <w:right w:val="nil"/>
          <w:between w:val="nil"/>
        </w:pBdr>
      </w:pPr>
      <w:bookmarkStart w:id="94" w:name="_heading=h.1yyy98l" w:colFirst="0" w:colLast="0"/>
      <w:bookmarkEnd w:id="94"/>
      <w:r>
        <w:rPr>
          <w:color w:val="000000"/>
        </w:rPr>
        <w:t>Before Processing any Authority Data, the Supplier must agree with the Authority the encryption methods that it and any Sub-contractors that Process Authority Data will use to comply with this paragraph 5.</w:t>
      </w:r>
    </w:p>
    <w:p w:rsidR="005F4C24" w:rsidRDefault="004C2B0D">
      <w:pPr>
        <w:numPr>
          <w:ilvl w:val="1"/>
          <w:numId w:val="5"/>
        </w:numPr>
        <w:pBdr>
          <w:top w:val="nil"/>
          <w:left w:val="nil"/>
          <w:bottom w:val="nil"/>
          <w:right w:val="nil"/>
          <w:between w:val="nil"/>
        </w:pBdr>
      </w:pPr>
      <w:bookmarkStart w:id="95" w:name="_heading=h.4iylrwe" w:colFirst="0" w:colLast="0"/>
      <w:bookmarkEnd w:id="95"/>
      <w:r>
        <w:rPr>
          <w:color w:val="000000"/>
        </w:rPr>
        <w:t>Where this paragraph 5 requires Authority Data to be encrypted, the Supplier must use, and ensure that Subcontractors use, the methods agreed by the Authority under paragraph 5.1.</w:t>
      </w:r>
    </w:p>
    <w:p w:rsidR="005F4C24" w:rsidRDefault="004C2B0D">
      <w:pPr>
        <w:keepNext/>
        <w:numPr>
          <w:ilvl w:val="1"/>
          <w:numId w:val="24"/>
        </w:numPr>
        <w:pBdr>
          <w:top w:val="nil"/>
          <w:left w:val="nil"/>
          <w:bottom w:val="nil"/>
          <w:right w:val="nil"/>
          <w:between w:val="nil"/>
        </w:pBdr>
      </w:pPr>
      <w:bookmarkStart w:id="96" w:name="_heading=h.2y3w247" w:colFirst="0" w:colLast="0"/>
      <w:bookmarkEnd w:id="96"/>
      <w:r>
        <w:rPr>
          <w:color w:val="000000"/>
        </w:rPr>
        <w:t>Unless paragraph 5.4 applies, the Supplier must ensure, and must ensure that all Sub-contractors ensure, that Authority Data is encrypted:</w:t>
      </w:r>
    </w:p>
    <w:p w:rsidR="005F4C24" w:rsidRDefault="004C2B0D">
      <w:pPr>
        <w:numPr>
          <w:ilvl w:val="2"/>
          <w:numId w:val="24"/>
        </w:numPr>
        <w:pBdr>
          <w:top w:val="nil"/>
          <w:left w:val="nil"/>
          <w:bottom w:val="nil"/>
          <w:right w:val="nil"/>
          <w:between w:val="nil"/>
        </w:pBdr>
      </w:pPr>
      <w:r>
        <w:rPr>
          <w:color w:val="000000"/>
        </w:rPr>
        <w:t>when stored at any time when no operation is being performed on it, including when stored on any portable storage media; and</w:t>
      </w:r>
    </w:p>
    <w:p w:rsidR="005F4C24" w:rsidRDefault="004C2B0D">
      <w:pPr>
        <w:numPr>
          <w:ilvl w:val="2"/>
          <w:numId w:val="5"/>
        </w:numPr>
        <w:pBdr>
          <w:top w:val="nil"/>
          <w:left w:val="nil"/>
          <w:bottom w:val="nil"/>
          <w:right w:val="nil"/>
          <w:between w:val="nil"/>
        </w:pBdr>
      </w:pPr>
      <w:r>
        <w:rPr>
          <w:color w:val="000000"/>
        </w:rPr>
        <w:t>when transmitted.</w:t>
      </w:r>
    </w:p>
    <w:p w:rsidR="005F4C24" w:rsidRDefault="004C2B0D">
      <w:pPr>
        <w:keepNext/>
        <w:numPr>
          <w:ilvl w:val="1"/>
          <w:numId w:val="24"/>
        </w:numPr>
        <w:pBdr>
          <w:top w:val="nil"/>
          <w:left w:val="nil"/>
          <w:bottom w:val="nil"/>
          <w:right w:val="nil"/>
          <w:between w:val="nil"/>
        </w:pBdr>
      </w:pPr>
      <w:bookmarkStart w:id="97" w:name="_heading=h.1d96cc0" w:colFirst="0" w:colLast="0"/>
      <w:bookmarkEnd w:id="97"/>
      <w:r>
        <w:rPr>
          <w:color w:val="000000"/>
        </w:rPr>
        <w:lastRenderedPageBreak/>
        <w:t>Where the Supplier, or a Sub-contractor, cannot encrypt Authority Data as required by paragraph 5.2, the Supplier must:</w:t>
      </w:r>
    </w:p>
    <w:p w:rsidR="005F4C24" w:rsidRDefault="004C2B0D">
      <w:pPr>
        <w:numPr>
          <w:ilvl w:val="2"/>
          <w:numId w:val="24"/>
        </w:numPr>
        <w:pBdr>
          <w:top w:val="nil"/>
          <w:left w:val="nil"/>
          <w:bottom w:val="nil"/>
          <w:right w:val="nil"/>
          <w:between w:val="nil"/>
        </w:pBdr>
      </w:pPr>
      <w:bookmarkStart w:id="98" w:name="_heading=h.3x8tuzt" w:colFirst="0" w:colLast="0"/>
      <w:bookmarkEnd w:id="98"/>
      <w:r>
        <w:rPr>
          <w:color w:val="000000"/>
        </w:rPr>
        <w:t>immediately inform the Authority of the subset or subsets of Authority Data it cannot encrypt and the circumstances in which and the reasons why it cannot do so;</w:t>
      </w:r>
    </w:p>
    <w:p w:rsidR="005F4C24" w:rsidRDefault="004C2B0D">
      <w:pPr>
        <w:numPr>
          <w:ilvl w:val="2"/>
          <w:numId w:val="5"/>
        </w:numPr>
        <w:pBdr>
          <w:top w:val="nil"/>
          <w:left w:val="nil"/>
          <w:bottom w:val="nil"/>
          <w:right w:val="nil"/>
          <w:between w:val="nil"/>
        </w:pBdr>
      </w:pPr>
      <w:bookmarkStart w:id="99" w:name="_heading=h.2ce457m" w:colFirst="0" w:colLast="0"/>
      <w:bookmarkEnd w:id="99"/>
      <w:r>
        <w:rPr>
          <w:color w:val="000000"/>
        </w:rPr>
        <w:t>provide details of the protective measures the Supplier or Sub-contractor (as applicable) proposes to take to provide equivalent protection to the Authority as encryption;</w:t>
      </w:r>
    </w:p>
    <w:p w:rsidR="005F4C24" w:rsidRDefault="004C2B0D">
      <w:pPr>
        <w:numPr>
          <w:ilvl w:val="2"/>
          <w:numId w:val="24"/>
        </w:numPr>
        <w:pBdr>
          <w:top w:val="nil"/>
          <w:left w:val="nil"/>
          <w:bottom w:val="nil"/>
          <w:right w:val="nil"/>
          <w:between w:val="nil"/>
        </w:pBdr>
      </w:pPr>
      <w:r>
        <w:rPr>
          <w:color w:val="000000"/>
        </w:rPr>
        <w:t>provide the Authority with such additional information relating to the information provided under paragraphs (a) and (b) as the Authority may require.</w:t>
      </w:r>
    </w:p>
    <w:p w:rsidR="005F4C24" w:rsidRDefault="004C2B0D">
      <w:pPr>
        <w:numPr>
          <w:ilvl w:val="1"/>
          <w:numId w:val="24"/>
        </w:numPr>
        <w:pBdr>
          <w:top w:val="nil"/>
          <w:left w:val="nil"/>
          <w:bottom w:val="nil"/>
          <w:right w:val="nil"/>
          <w:between w:val="nil"/>
        </w:pBdr>
      </w:pPr>
      <w:r>
        <w:rPr>
          <w:color w:val="000000"/>
        </w:rPr>
        <w:t>The Authority, the Supplier and, where the Authority requires, any relevant Sub-contractor shall meet to agree appropriate protective measures for the unencrypted Authority Data.</w:t>
      </w:r>
    </w:p>
    <w:p w:rsidR="005F4C24" w:rsidRDefault="004C2B0D">
      <w:pPr>
        <w:keepNext/>
        <w:numPr>
          <w:ilvl w:val="1"/>
          <w:numId w:val="5"/>
        </w:numPr>
        <w:pBdr>
          <w:top w:val="nil"/>
          <w:left w:val="nil"/>
          <w:bottom w:val="nil"/>
          <w:right w:val="nil"/>
          <w:between w:val="nil"/>
        </w:pBdr>
      </w:pPr>
      <w:r>
        <w:rPr>
          <w:color w:val="000000"/>
        </w:rPr>
        <w:t>Where the Authority and Supplier reach agreement, the Supplier must update the Security Management Plan to include:</w:t>
      </w:r>
    </w:p>
    <w:p w:rsidR="005F4C24" w:rsidRDefault="004C2B0D">
      <w:pPr>
        <w:numPr>
          <w:ilvl w:val="2"/>
          <w:numId w:val="24"/>
        </w:numPr>
        <w:pBdr>
          <w:top w:val="nil"/>
          <w:left w:val="nil"/>
          <w:bottom w:val="nil"/>
          <w:right w:val="nil"/>
          <w:between w:val="nil"/>
        </w:pBdr>
      </w:pPr>
      <w:r>
        <w:rPr>
          <w:color w:val="000000"/>
        </w:rPr>
        <w:t>the subset or subsets of Authority Data not encrypted and the circumstances in which that will occur;</w:t>
      </w:r>
    </w:p>
    <w:p w:rsidR="005F4C24" w:rsidRDefault="004C2B0D">
      <w:pPr>
        <w:numPr>
          <w:ilvl w:val="2"/>
          <w:numId w:val="5"/>
        </w:numPr>
        <w:pBdr>
          <w:top w:val="nil"/>
          <w:left w:val="nil"/>
          <w:bottom w:val="nil"/>
          <w:right w:val="nil"/>
          <w:between w:val="nil"/>
        </w:pBdr>
      </w:pPr>
      <w:r>
        <w:rPr>
          <w:color w:val="000000"/>
        </w:rPr>
        <w:t>the protective measure that the Supplier and/or Sub-contractor will put in place in respect of the unencrypted Authority Data.</w:t>
      </w:r>
    </w:p>
    <w:p w:rsidR="005F4C24" w:rsidRDefault="004C2B0D">
      <w:pPr>
        <w:numPr>
          <w:ilvl w:val="1"/>
          <w:numId w:val="24"/>
        </w:numPr>
        <w:pBdr>
          <w:top w:val="nil"/>
          <w:left w:val="nil"/>
          <w:bottom w:val="nil"/>
          <w:right w:val="nil"/>
          <w:between w:val="nil"/>
        </w:pBdr>
      </w:pPr>
      <w:r>
        <w:rPr>
          <w:color w:val="000000"/>
        </w:rPr>
        <w:t>Where the Authority and Supplier do not reach agreement within 40 Working Days of the date on which the Supplier first notified the Authority that it could not encrypt certain Authority Data, either party may refer the matter to be determined by an expert in accordance with the Dispute Resolution Procedure.</w:t>
      </w:r>
    </w:p>
    <w:p w:rsidR="005F4C24" w:rsidRDefault="004C2B0D">
      <w:pPr>
        <w:keepNext/>
        <w:numPr>
          <w:ilvl w:val="0"/>
          <w:numId w:val="5"/>
        </w:numPr>
        <w:pBdr>
          <w:top w:val="nil"/>
          <w:left w:val="nil"/>
          <w:bottom w:val="nil"/>
          <w:right w:val="nil"/>
          <w:between w:val="nil"/>
        </w:pBdr>
        <w:spacing w:before="360"/>
      </w:pPr>
      <w:r>
        <w:rPr>
          <w:b/>
          <w:color w:val="000000"/>
          <w:sz w:val="24"/>
          <w:szCs w:val="24"/>
        </w:rPr>
        <w:t>Email</w:t>
      </w:r>
    </w:p>
    <w:p w:rsidR="005F4C24" w:rsidRDefault="004C2B0D">
      <w:pPr>
        <w:keepNext/>
        <w:numPr>
          <w:ilvl w:val="1"/>
          <w:numId w:val="24"/>
        </w:numPr>
        <w:pBdr>
          <w:top w:val="nil"/>
          <w:left w:val="nil"/>
          <w:bottom w:val="nil"/>
          <w:right w:val="nil"/>
          <w:between w:val="nil"/>
        </w:pBdr>
      </w:pPr>
      <w:r>
        <w:rPr>
          <w:color w:val="000000"/>
        </w:rPr>
        <w:t>Notwithstanding anything in the specification for the Developed System or this Contract, the Supplier must ensure that where the Developed System will provide an Email Service to the Authority, the Developed System:</w:t>
      </w:r>
    </w:p>
    <w:p w:rsidR="005F4C24" w:rsidRDefault="004C2B0D">
      <w:pPr>
        <w:numPr>
          <w:ilvl w:val="2"/>
          <w:numId w:val="24"/>
        </w:numPr>
        <w:pBdr>
          <w:top w:val="nil"/>
          <w:left w:val="nil"/>
          <w:bottom w:val="nil"/>
          <w:right w:val="nil"/>
          <w:between w:val="nil"/>
        </w:pBdr>
      </w:pPr>
      <w:r>
        <w:rPr>
          <w:color w:val="000000"/>
        </w:rPr>
        <w:t>supports transport layer security (</w:t>
      </w:r>
      <w:r>
        <w:rPr>
          <w:b/>
          <w:color w:val="000000"/>
        </w:rPr>
        <w:t>TLS</w:t>
      </w:r>
      <w:r>
        <w:rPr>
          <w:color w:val="000000"/>
        </w:rPr>
        <w:t>) version 1.2, or higher, for sending and receiving emails;</w:t>
      </w:r>
    </w:p>
    <w:p w:rsidR="005F4C24" w:rsidRDefault="004C2B0D">
      <w:pPr>
        <w:numPr>
          <w:ilvl w:val="2"/>
          <w:numId w:val="5"/>
        </w:numPr>
      </w:pPr>
      <w:r>
        <w:t>supports TLS Reporting (“</w:t>
      </w:r>
      <w:r>
        <w:rPr>
          <w:b/>
        </w:rPr>
        <w:t>TLS-RPT</w:t>
      </w:r>
      <w:r>
        <w:t>”); and MTA-STS (Mail Transfer Agent Strict Transport Security) reporting (“</w:t>
      </w:r>
      <w:r>
        <w:rPr>
          <w:b/>
        </w:rPr>
        <w:t>MTA-STS</w:t>
      </w:r>
      <w:r>
        <w:t>”);</w:t>
      </w:r>
    </w:p>
    <w:p w:rsidR="005F4C24" w:rsidRDefault="004C2B0D">
      <w:pPr>
        <w:keepNext/>
        <w:numPr>
          <w:ilvl w:val="2"/>
          <w:numId w:val="24"/>
        </w:numPr>
        <w:pBdr>
          <w:top w:val="nil"/>
          <w:left w:val="nil"/>
          <w:bottom w:val="nil"/>
          <w:right w:val="nil"/>
          <w:between w:val="nil"/>
        </w:pBdr>
      </w:pPr>
      <w:r>
        <w:rPr>
          <w:color w:val="000000"/>
        </w:rPr>
        <w:t>is capable of implementing:</w:t>
      </w:r>
    </w:p>
    <w:p w:rsidR="005F4C24" w:rsidRDefault="004C2B0D">
      <w:pPr>
        <w:numPr>
          <w:ilvl w:val="3"/>
          <w:numId w:val="24"/>
        </w:numPr>
        <w:pBdr>
          <w:top w:val="nil"/>
          <w:left w:val="nil"/>
          <w:bottom w:val="nil"/>
          <w:right w:val="nil"/>
          <w:between w:val="nil"/>
        </w:pBdr>
      </w:pPr>
      <w:r>
        <w:rPr>
          <w:color w:val="000000"/>
        </w:rPr>
        <w:t>domain-based message authentication, reporting and conformance (</w:t>
      </w:r>
      <w:r>
        <w:rPr>
          <w:b/>
          <w:color w:val="000000"/>
        </w:rPr>
        <w:t>DMARC</w:t>
      </w:r>
      <w:r>
        <w:rPr>
          <w:color w:val="000000"/>
        </w:rPr>
        <w:t>);</w:t>
      </w:r>
    </w:p>
    <w:p w:rsidR="005F4C24" w:rsidRDefault="004C2B0D">
      <w:pPr>
        <w:numPr>
          <w:ilvl w:val="3"/>
          <w:numId w:val="5"/>
        </w:numPr>
        <w:pBdr>
          <w:top w:val="nil"/>
          <w:left w:val="nil"/>
          <w:bottom w:val="nil"/>
          <w:right w:val="nil"/>
          <w:between w:val="nil"/>
        </w:pBdr>
      </w:pPr>
      <w:r>
        <w:rPr>
          <w:color w:val="000000"/>
        </w:rPr>
        <w:t>sender policy framework (</w:t>
      </w:r>
      <w:r>
        <w:rPr>
          <w:b/>
          <w:color w:val="000000"/>
        </w:rPr>
        <w:t>SPF</w:t>
      </w:r>
      <w:r>
        <w:rPr>
          <w:color w:val="000000"/>
        </w:rPr>
        <w:t>); and</w:t>
      </w:r>
    </w:p>
    <w:p w:rsidR="005F4C24" w:rsidRDefault="004C2B0D">
      <w:pPr>
        <w:numPr>
          <w:ilvl w:val="3"/>
          <w:numId w:val="24"/>
        </w:numPr>
        <w:pBdr>
          <w:top w:val="nil"/>
          <w:left w:val="nil"/>
          <w:bottom w:val="nil"/>
          <w:right w:val="nil"/>
          <w:between w:val="nil"/>
        </w:pBdr>
      </w:pPr>
      <w:r>
        <w:rPr>
          <w:color w:val="000000"/>
        </w:rPr>
        <w:t>domain keys identified mail (</w:t>
      </w:r>
      <w:r>
        <w:rPr>
          <w:b/>
          <w:color w:val="000000"/>
        </w:rPr>
        <w:t>DKIM</w:t>
      </w:r>
      <w:r>
        <w:rPr>
          <w:color w:val="000000"/>
        </w:rPr>
        <w:t>); and</w:t>
      </w:r>
    </w:p>
    <w:p w:rsidR="005F4C24" w:rsidRDefault="004C2B0D">
      <w:pPr>
        <w:keepNext/>
        <w:numPr>
          <w:ilvl w:val="2"/>
          <w:numId w:val="24"/>
        </w:numPr>
        <w:pBdr>
          <w:top w:val="nil"/>
          <w:left w:val="nil"/>
          <w:bottom w:val="nil"/>
          <w:right w:val="nil"/>
          <w:between w:val="nil"/>
        </w:pBdr>
      </w:pPr>
      <w:r>
        <w:rPr>
          <w:color w:val="000000"/>
        </w:rPr>
        <w:t>is capable of complying in all respects with any guidance concerning email security as issued or updated from time to time by:</w:t>
      </w:r>
    </w:p>
    <w:p w:rsidR="005F4C24" w:rsidRDefault="004C2B0D">
      <w:pPr>
        <w:numPr>
          <w:ilvl w:val="3"/>
          <w:numId w:val="24"/>
        </w:numPr>
        <w:pBdr>
          <w:top w:val="nil"/>
          <w:left w:val="nil"/>
          <w:bottom w:val="nil"/>
          <w:right w:val="nil"/>
          <w:between w:val="nil"/>
        </w:pBdr>
      </w:pPr>
      <w:r>
        <w:rPr>
          <w:color w:val="000000"/>
        </w:rPr>
        <w:t xml:space="preserve">the UK Government (current version at </w:t>
      </w:r>
      <w:hyperlink r:id="rId19">
        <w:r>
          <w:rPr>
            <w:color w:val="0563C1"/>
            <w:u w:val="single"/>
          </w:rPr>
          <w:t>https://www.gov.uk/guidance/securing-government-email</w:t>
        </w:r>
      </w:hyperlink>
      <w:r>
        <w:rPr>
          <w:color w:val="000000"/>
        </w:rPr>
        <w:t>; or</w:t>
      </w:r>
    </w:p>
    <w:p w:rsidR="005F4C24" w:rsidRDefault="004C2B0D">
      <w:pPr>
        <w:numPr>
          <w:ilvl w:val="3"/>
          <w:numId w:val="5"/>
        </w:numPr>
        <w:pBdr>
          <w:top w:val="nil"/>
          <w:left w:val="nil"/>
          <w:bottom w:val="nil"/>
          <w:right w:val="nil"/>
          <w:between w:val="nil"/>
        </w:pBdr>
      </w:pPr>
      <w:r>
        <w:rPr>
          <w:color w:val="000000"/>
        </w:rPr>
        <w:lastRenderedPageBreak/>
        <w:t xml:space="preserve">the NCSC (current version at </w:t>
      </w:r>
      <w:hyperlink r:id="rId20">
        <w:r>
          <w:rPr>
            <w:color w:val="0563C1"/>
            <w:u w:val="single"/>
          </w:rPr>
          <w:t>https://www.ncsc.gov.uk/collection/email-security-and-anti-spoofing</w:t>
        </w:r>
      </w:hyperlink>
      <w:r>
        <w:rPr>
          <w:color w:val="000000"/>
        </w:rPr>
        <w:t>).</w:t>
      </w:r>
    </w:p>
    <w:p w:rsidR="005F4C24" w:rsidRDefault="004C2B0D">
      <w:pPr>
        <w:keepNext/>
        <w:numPr>
          <w:ilvl w:val="0"/>
          <w:numId w:val="5"/>
        </w:numPr>
        <w:pBdr>
          <w:top w:val="nil"/>
          <w:left w:val="nil"/>
          <w:bottom w:val="nil"/>
          <w:right w:val="nil"/>
          <w:between w:val="nil"/>
        </w:pBdr>
        <w:spacing w:before="360"/>
      </w:pPr>
      <w:r>
        <w:rPr>
          <w:b/>
          <w:color w:val="000000"/>
          <w:sz w:val="24"/>
          <w:szCs w:val="24"/>
        </w:rPr>
        <w:t>DNS</w:t>
      </w:r>
    </w:p>
    <w:p w:rsidR="005F4C24" w:rsidRDefault="004C2B0D">
      <w:pPr>
        <w:pStyle w:val="Heading2"/>
        <w:ind w:firstLine="0"/>
      </w:pPr>
      <w:r>
        <w:t>Unless otherwise agreed by the Authority, the Supplier must ensure that the Developed System uses the UK public sector Protective DNS (</w:t>
      </w:r>
      <w:r>
        <w:rPr>
          <w:b/>
        </w:rPr>
        <w:t>PDNS</w:t>
      </w:r>
      <w:r>
        <w:t>) service to resolve internet DNS queries.</w:t>
      </w:r>
    </w:p>
    <w:p w:rsidR="005F4C24" w:rsidRDefault="004C2B0D">
      <w:pPr>
        <w:keepNext/>
        <w:numPr>
          <w:ilvl w:val="0"/>
          <w:numId w:val="5"/>
        </w:numPr>
        <w:pBdr>
          <w:top w:val="nil"/>
          <w:left w:val="nil"/>
          <w:bottom w:val="nil"/>
          <w:right w:val="nil"/>
          <w:between w:val="nil"/>
        </w:pBdr>
        <w:spacing w:before="360"/>
      </w:pPr>
      <w:bookmarkStart w:id="100" w:name="_heading=h.rjefff" w:colFirst="0" w:colLast="0"/>
      <w:bookmarkEnd w:id="100"/>
      <w:r>
        <w:rPr>
          <w:b/>
          <w:color w:val="000000"/>
          <w:sz w:val="24"/>
          <w:szCs w:val="24"/>
        </w:rPr>
        <w:t>Malicious Software</w:t>
      </w:r>
    </w:p>
    <w:p w:rsidR="005F4C24" w:rsidRDefault="004C2B0D">
      <w:pPr>
        <w:numPr>
          <w:ilvl w:val="1"/>
          <w:numId w:val="24"/>
        </w:numPr>
        <w:pBdr>
          <w:top w:val="nil"/>
          <w:left w:val="nil"/>
          <w:bottom w:val="nil"/>
          <w:right w:val="nil"/>
          <w:between w:val="nil"/>
        </w:pBdr>
      </w:pPr>
      <w:r>
        <w:rPr>
          <w:color w:val="000000"/>
        </w:rPr>
        <w:t>The Supplier shall install and maintain Anti-virus Software or procure that Anti-virus Software is installed and maintained on the Supplier Information Management System.</w:t>
      </w:r>
    </w:p>
    <w:p w:rsidR="005F4C24" w:rsidRDefault="004C2B0D">
      <w:pPr>
        <w:keepNext/>
        <w:numPr>
          <w:ilvl w:val="1"/>
          <w:numId w:val="5"/>
        </w:numPr>
        <w:pBdr>
          <w:top w:val="nil"/>
          <w:left w:val="nil"/>
          <w:bottom w:val="nil"/>
          <w:right w:val="nil"/>
          <w:between w:val="nil"/>
        </w:pBdr>
      </w:pPr>
      <w:r>
        <w:rPr>
          <w:color w:val="000000"/>
        </w:rPr>
        <w:t>The Supplier must ensure that such Anti-virus Software:</w:t>
      </w:r>
    </w:p>
    <w:p w:rsidR="005F4C24" w:rsidRDefault="004C2B0D">
      <w:pPr>
        <w:numPr>
          <w:ilvl w:val="2"/>
          <w:numId w:val="24"/>
        </w:numPr>
        <w:pBdr>
          <w:top w:val="nil"/>
          <w:left w:val="nil"/>
          <w:bottom w:val="nil"/>
          <w:right w:val="nil"/>
          <w:between w:val="nil"/>
        </w:pBdr>
      </w:pPr>
      <w:r>
        <w:rPr>
          <w:color w:val="000000"/>
        </w:rPr>
        <w:t>prevents the installation of the most common forms of Malicious Software in the Supplier Information Management System and the Development Environment;</w:t>
      </w:r>
    </w:p>
    <w:p w:rsidR="005F4C24" w:rsidRDefault="004C2B0D">
      <w:pPr>
        <w:numPr>
          <w:ilvl w:val="2"/>
          <w:numId w:val="5"/>
        </w:numPr>
        <w:pBdr>
          <w:top w:val="nil"/>
          <w:left w:val="nil"/>
          <w:bottom w:val="nil"/>
          <w:right w:val="nil"/>
          <w:between w:val="nil"/>
        </w:pBdr>
      </w:pPr>
      <w:r>
        <w:rPr>
          <w:color w:val="000000"/>
        </w:rPr>
        <w:t>is configured to perform automatic software and definition updates;</w:t>
      </w:r>
    </w:p>
    <w:p w:rsidR="005F4C24" w:rsidRDefault="004C2B0D">
      <w:pPr>
        <w:numPr>
          <w:ilvl w:val="2"/>
          <w:numId w:val="24"/>
        </w:numPr>
        <w:pBdr>
          <w:top w:val="nil"/>
          <w:left w:val="nil"/>
          <w:bottom w:val="nil"/>
          <w:right w:val="nil"/>
          <w:between w:val="nil"/>
        </w:pBdr>
      </w:pPr>
      <w:r>
        <w:rPr>
          <w:color w:val="000000"/>
        </w:rPr>
        <w:t>provides for all updates to be the Anti-virus Software to be deployed within ten Working Days of the update’s release by the vendor;</w:t>
      </w:r>
    </w:p>
    <w:p w:rsidR="005F4C24" w:rsidRDefault="004C2B0D">
      <w:pPr>
        <w:numPr>
          <w:ilvl w:val="2"/>
          <w:numId w:val="5"/>
        </w:numPr>
        <w:pBdr>
          <w:top w:val="nil"/>
          <w:left w:val="nil"/>
          <w:bottom w:val="nil"/>
          <w:right w:val="nil"/>
          <w:between w:val="nil"/>
        </w:pBdr>
      </w:pPr>
      <w:r>
        <w:rPr>
          <w:color w:val="000000"/>
        </w:rPr>
        <w:t>performs regular scans of the Supplier Information Management System to check for and prevent the introduction of Malicious Software; and</w:t>
      </w:r>
    </w:p>
    <w:p w:rsidR="005F4C24" w:rsidRDefault="004C2B0D">
      <w:pPr>
        <w:numPr>
          <w:ilvl w:val="2"/>
          <w:numId w:val="24"/>
        </w:numPr>
        <w:pBdr>
          <w:top w:val="nil"/>
          <w:left w:val="nil"/>
          <w:bottom w:val="nil"/>
          <w:right w:val="nil"/>
          <w:between w:val="nil"/>
        </w:pBdr>
      </w:pPr>
      <w:r>
        <w:rPr>
          <w:color w:val="000000"/>
        </w:rPr>
        <w:t>where Malicious Software has been introduced into the Supplier Information Management System, identifies, contains the spread of, and minimises the impact of Malicious Software.</w:t>
      </w:r>
    </w:p>
    <w:p w:rsidR="005F4C24" w:rsidRDefault="004C2B0D">
      <w:pPr>
        <w:numPr>
          <w:ilvl w:val="1"/>
          <w:numId w:val="24"/>
        </w:numPr>
        <w:pBdr>
          <w:top w:val="nil"/>
          <w:left w:val="nil"/>
          <w:bottom w:val="nil"/>
          <w:right w:val="nil"/>
          <w:between w:val="nil"/>
        </w:pBdr>
      </w:pPr>
      <w:bookmarkStart w:id="101" w:name="_heading=h.3bj1y38" w:colFirst="0" w:colLast="0"/>
      <w:bookmarkEnd w:id="101"/>
      <w:r>
        <w:rPr>
          <w:color w:val="000000"/>
        </w:rPr>
        <w:t>If Malicious Software is found, the Parties shall cooperate to reduce the effect of the Malicious Software and, particularly if Malicious Software causes loss of operational efficiency or loss or corruption of Authority Data, assist each other to mitigate any Losses and to restore the Services to their desired operating efficiency.</w:t>
      </w:r>
    </w:p>
    <w:p w:rsidR="005F4C24" w:rsidRDefault="004C2B0D">
      <w:pPr>
        <w:numPr>
          <w:ilvl w:val="1"/>
          <w:numId w:val="5"/>
        </w:numPr>
        <w:pBdr>
          <w:top w:val="nil"/>
          <w:left w:val="nil"/>
          <w:bottom w:val="nil"/>
          <w:right w:val="nil"/>
          <w:between w:val="nil"/>
        </w:pBdr>
      </w:pPr>
      <w:r>
        <w:rPr>
          <w:color w:val="000000"/>
        </w:rPr>
        <w:t>The Supplier must at all times, during and after the Term, on written demand indemnify the Authority and keep the Authority indemnified, against all Losses incurred by, awarded against or agreed to be paid by the Authority arising from any Breach of Security caused by Malicious Software where the Breach of Security arose from a failure by the Supplier, or a Sub-contractor, to comply with this paragraph 8.</w:t>
      </w:r>
    </w:p>
    <w:p w:rsidR="005F4C24" w:rsidRDefault="004C2B0D">
      <w:pPr>
        <w:keepNext/>
        <w:numPr>
          <w:ilvl w:val="0"/>
          <w:numId w:val="5"/>
        </w:numPr>
        <w:pBdr>
          <w:top w:val="nil"/>
          <w:left w:val="nil"/>
          <w:bottom w:val="nil"/>
          <w:right w:val="nil"/>
          <w:between w:val="nil"/>
        </w:pBdr>
        <w:spacing w:before="360"/>
      </w:pPr>
      <w:bookmarkStart w:id="102" w:name="_heading=h.1qoc8b1" w:colFirst="0" w:colLast="0"/>
      <w:bookmarkEnd w:id="102"/>
      <w:r>
        <w:rPr>
          <w:b/>
          <w:color w:val="000000"/>
          <w:sz w:val="24"/>
          <w:szCs w:val="24"/>
        </w:rPr>
        <w:t>Vulnerabilities</w:t>
      </w:r>
    </w:p>
    <w:p w:rsidR="005F4C24" w:rsidRDefault="004C2B0D">
      <w:pPr>
        <w:keepNext/>
        <w:numPr>
          <w:ilvl w:val="1"/>
          <w:numId w:val="24"/>
        </w:numPr>
        <w:pBdr>
          <w:top w:val="nil"/>
          <w:left w:val="nil"/>
          <w:bottom w:val="nil"/>
          <w:right w:val="nil"/>
          <w:between w:val="nil"/>
        </w:pBdr>
      </w:pPr>
      <w:bookmarkStart w:id="103" w:name="_heading=h.4anzqyu" w:colFirst="0" w:colLast="0"/>
      <w:bookmarkEnd w:id="103"/>
      <w:r>
        <w:rPr>
          <w:color w:val="000000"/>
        </w:rPr>
        <w:t>Unless the Authority otherwise agrees, the Supplier must ensure that it or any relevant Sub-contractor applies security patches to any vulnerabilities in the Supplier Information Management System no later than:</w:t>
      </w:r>
    </w:p>
    <w:p w:rsidR="005F4C24" w:rsidRDefault="004C2B0D">
      <w:pPr>
        <w:numPr>
          <w:ilvl w:val="2"/>
          <w:numId w:val="24"/>
        </w:numPr>
        <w:pBdr>
          <w:top w:val="nil"/>
          <w:left w:val="nil"/>
          <w:bottom w:val="nil"/>
          <w:right w:val="nil"/>
          <w:between w:val="nil"/>
        </w:pBdr>
      </w:pPr>
      <w:r>
        <w:t>thirty (30) days after the public release of patches for vulnerabilities classified as “critical”;</w:t>
      </w:r>
    </w:p>
    <w:p w:rsidR="005F4C24" w:rsidRDefault="004C2B0D">
      <w:pPr>
        <w:numPr>
          <w:ilvl w:val="2"/>
          <w:numId w:val="24"/>
        </w:numPr>
        <w:pBdr>
          <w:top w:val="nil"/>
          <w:left w:val="nil"/>
          <w:bottom w:val="nil"/>
          <w:right w:val="nil"/>
          <w:between w:val="nil"/>
        </w:pBdr>
      </w:pPr>
      <w:r>
        <w:t>sixty (60) days after the public release of patches for vulnerabilities classified as “high”;</w:t>
      </w:r>
    </w:p>
    <w:p w:rsidR="005F4C24" w:rsidRDefault="004C2B0D">
      <w:pPr>
        <w:numPr>
          <w:ilvl w:val="2"/>
          <w:numId w:val="24"/>
        </w:numPr>
        <w:pBdr>
          <w:top w:val="nil"/>
          <w:left w:val="nil"/>
          <w:bottom w:val="nil"/>
          <w:right w:val="nil"/>
          <w:between w:val="nil"/>
        </w:pBdr>
      </w:pPr>
      <w:r>
        <w:t>ninety (90) days after the public release of patches for vulnerabilities classified as “medium”; and,</w:t>
      </w:r>
    </w:p>
    <w:p w:rsidR="005F4C24" w:rsidRDefault="004C2B0D">
      <w:pPr>
        <w:numPr>
          <w:ilvl w:val="2"/>
          <w:numId w:val="24"/>
        </w:numPr>
        <w:pBdr>
          <w:top w:val="nil"/>
          <w:left w:val="nil"/>
          <w:bottom w:val="nil"/>
          <w:right w:val="nil"/>
          <w:between w:val="nil"/>
        </w:pBdr>
      </w:pPr>
      <w:r>
        <w:lastRenderedPageBreak/>
        <w:t>one hundred and twenty (120) days after the public release of patches for vulnerabilities classified as “low”.</w:t>
      </w:r>
    </w:p>
    <w:p w:rsidR="005F4C24" w:rsidRDefault="004C2B0D">
      <w:pPr>
        <w:numPr>
          <w:ilvl w:val="1"/>
          <w:numId w:val="24"/>
        </w:numPr>
      </w:pPr>
      <w:r>
        <w:t xml:space="preserve">If changes are urgent because a major security risk has been identified, the product, system, or service owner should ask a competent developer to investigate, and if </w:t>
      </w:r>
      <w:proofErr w:type="gramStart"/>
      <w:r>
        <w:t>possible</w:t>
      </w:r>
      <w:proofErr w:type="gramEnd"/>
      <w:r>
        <w:t xml:space="preserve"> create and implement a patch quickly. If the issue is more complex, Technical Architects, Security Architects and the Security Team might need to assist in the development of appropriate remediation plans.</w:t>
      </w:r>
    </w:p>
    <w:p w:rsidR="005F4C24" w:rsidRDefault="004C2B0D">
      <w:pPr>
        <w:keepNext/>
        <w:numPr>
          <w:ilvl w:val="1"/>
          <w:numId w:val="24"/>
        </w:numPr>
        <w:pBdr>
          <w:top w:val="nil"/>
          <w:left w:val="nil"/>
          <w:bottom w:val="nil"/>
          <w:right w:val="nil"/>
          <w:between w:val="nil"/>
        </w:pBdr>
      </w:pPr>
      <w:r>
        <w:rPr>
          <w:color w:val="000000"/>
        </w:rPr>
        <w:t>The Supplier must:</w:t>
      </w:r>
    </w:p>
    <w:p w:rsidR="005F4C24" w:rsidRDefault="004C2B0D">
      <w:pPr>
        <w:numPr>
          <w:ilvl w:val="2"/>
          <w:numId w:val="24"/>
        </w:numPr>
        <w:pBdr>
          <w:top w:val="nil"/>
          <w:left w:val="nil"/>
          <w:bottom w:val="nil"/>
          <w:right w:val="nil"/>
          <w:between w:val="nil"/>
        </w:pBdr>
      </w:pPr>
      <w:r>
        <w:rPr>
          <w:color w:val="000000"/>
        </w:rPr>
        <w:t>scan the Supplier Information Management System and the Development Environment at least once every month to identify any unpatched vulnerabilities; and</w:t>
      </w:r>
    </w:p>
    <w:p w:rsidR="005F4C24" w:rsidRDefault="004C2B0D">
      <w:pPr>
        <w:numPr>
          <w:ilvl w:val="2"/>
          <w:numId w:val="5"/>
        </w:numPr>
        <w:pBdr>
          <w:top w:val="nil"/>
          <w:left w:val="nil"/>
          <w:bottom w:val="nil"/>
          <w:right w:val="nil"/>
          <w:between w:val="nil"/>
        </w:pBdr>
      </w:pPr>
      <w:r>
        <w:rPr>
          <w:color w:val="000000"/>
        </w:rPr>
        <w:t>if the scan identifies any unpatched vulnerabilities ensure they are patched in accordance with paragraph 9.1.</w:t>
      </w:r>
    </w:p>
    <w:p w:rsidR="005F4C24" w:rsidRDefault="004C2B0D">
      <w:pPr>
        <w:keepNext/>
        <w:numPr>
          <w:ilvl w:val="1"/>
          <w:numId w:val="24"/>
        </w:numPr>
        <w:pBdr>
          <w:top w:val="nil"/>
          <w:left w:val="nil"/>
          <w:bottom w:val="nil"/>
          <w:right w:val="nil"/>
          <w:between w:val="nil"/>
        </w:pBdr>
      </w:pPr>
      <w:r>
        <w:t xml:space="preserve">For the purposes of this paragraph 17, the Supplier must implement a method for classifying vulnerabilities to the Supplier Information Management System as “critical”, “high”, “medium”, or “low” that is aligned to the </w:t>
      </w:r>
      <w:proofErr w:type="spellStart"/>
      <w:r>
        <w:t>the</w:t>
      </w:r>
      <w:proofErr w:type="spellEnd"/>
      <w:r>
        <w:t xml:space="preserve"> Common Vulnerability Scoring System (CVSS).</w:t>
      </w:r>
    </w:p>
    <w:p w:rsidR="005F4C24" w:rsidRDefault="004C2B0D">
      <w:pPr>
        <w:keepNext/>
        <w:numPr>
          <w:ilvl w:val="0"/>
          <w:numId w:val="5"/>
        </w:numPr>
        <w:pBdr>
          <w:top w:val="nil"/>
          <w:left w:val="nil"/>
          <w:bottom w:val="nil"/>
          <w:right w:val="nil"/>
          <w:between w:val="nil"/>
        </w:pBdr>
        <w:spacing w:before="360"/>
      </w:pPr>
      <w:bookmarkStart w:id="104" w:name="_heading=h.2pta16n" w:colFirst="0" w:colLast="0"/>
      <w:bookmarkEnd w:id="104"/>
      <w:r>
        <w:rPr>
          <w:b/>
          <w:color w:val="000000"/>
          <w:sz w:val="24"/>
          <w:szCs w:val="24"/>
        </w:rPr>
        <w:t>Security testing</w:t>
      </w:r>
    </w:p>
    <w:p w:rsidR="005F4C24" w:rsidRDefault="004C2B0D">
      <w:pPr>
        <w:keepNext/>
        <w:pBdr>
          <w:top w:val="nil"/>
          <w:left w:val="nil"/>
          <w:bottom w:val="nil"/>
          <w:right w:val="nil"/>
          <w:between w:val="nil"/>
        </w:pBdr>
        <w:ind w:left="720"/>
        <w:rPr>
          <w:b/>
          <w:color w:val="000000"/>
        </w:rPr>
      </w:pPr>
      <w:r>
        <w:rPr>
          <w:b/>
          <w:color w:val="000000"/>
        </w:rPr>
        <w:t>Responsibility for security testing</w:t>
      </w:r>
    </w:p>
    <w:p w:rsidR="005F4C24" w:rsidRDefault="004C2B0D">
      <w:pPr>
        <w:keepNext/>
        <w:numPr>
          <w:ilvl w:val="1"/>
          <w:numId w:val="24"/>
        </w:numPr>
        <w:pBdr>
          <w:top w:val="nil"/>
          <w:left w:val="nil"/>
          <w:bottom w:val="nil"/>
          <w:right w:val="nil"/>
          <w:between w:val="nil"/>
        </w:pBdr>
      </w:pPr>
      <w:r>
        <w:rPr>
          <w:color w:val="000000"/>
        </w:rPr>
        <w:t>The Supplier is solely responsible for:</w:t>
      </w:r>
    </w:p>
    <w:p w:rsidR="005F4C24" w:rsidRDefault="004C2B0D">
      <w:pPr>
        <w:numPr>
          <w:ilvl w:val="2"/>
          <w:numId w:val="24"/>
        </w:numPr>
        <w:pBdr>
          <w:top w:val="nil"/>
          <w:left w:val="nil"/>
          <w:bottom w:val="nil"/>
          <w:right w:val="nil"/>
          <w:between w:val="nil"/>
        </w:pBdr>
      </w:pPr>
      <w:r>
        <w:rPr>
          <w:color w:val="000000"/>
        </w:rPr>
        <w:t>the costs of conducting any security testing required by this paragraph 10 (unless the Authority gives notice under paragraph 10.2); and</w:t>
      </w:r>
    </w:p>
    <w:p w:rsidR="005F4C24" w:rsidRDefault="004C2B0D">
      <w:pPr>
        <w:numPr>
          <w:ilvl w:val="2"/>
          <w:numId w:val="5"/>
        </w:numPr>
        <w:pBdr>
          <w:top w:val="nil"/>
          <w:left w:val="nil"/>
          <w:bottom w:val="nil"/>
          <w:right w:val="nil"/>
          <w:between w:val="nil"/>
        </w:pBdr>
      </w:pPr>
      <w:r>
        <w:rPr>
          <w:color w:val="000000"/>
        </w:rPr>
        <w:t>the costs of implementing any findings, or remedying any vulnerabilities, identified in that security testing.</w:t>
      </w:r>
    </w:p>
    <w:p w:rsidR="005F4C24" w:rsidRDefault="004C2B0D">
      <w:pPr>
        <w:keepNext/>
        <w:pBdr>
          <w:top w:val="nil"/>
          <w:left w:val="nil"/>
          <w:bottom w:val="nil"/>
          <w:right w:val="nil"/>
          <w:between w:val="nil"/>
        </w:pBdr>
        <w:ind w:left="720"/>
        <w:rPr>
          <w:b/>
          <w:color w:val="000000"/>
        </w:rPr>
      </w:pPr>
      <w:r>
        <w:rPr>
          <w:b/>
          <w:color w:val="000000"/>
        </w:rPr>
        <w:t>Security tests by Authority</w:t>
      </w:r>
    </w:p>
    <w:p w:rsidR="005F4C24" w:rsidRDefault="004C2B0D">
      <w:pPr>
        <w:numPr>
          <w:ilvl w:val="1"/>
          <w:numId w:val="24"/>
        </w:numPr>
        <w:pBdr>
          <w:top w:val="nil"/>
          <w:left w:val="nil"/>
          <w:bottom w:val="nil"/>
          <w:right w:val="nil"/>
          <w:between w:val="nil"/>
        </w:pBdr>
      </w:pPr>
      <w:bookmarkStart w:id="105" w:name="_heading=h.14ykbeg" w:colFirst="0" w:colLast="0"/>
      <w:bookmarkEnd w:id="105"/>
      <w:r>
        <w:rPr>
          <w:color w:val="000000"/>
        </w:rPr>
        <w:t>The Authority may, where it has significant concerns relating to the security of the Supplier Information Management System, give notice to the Supplier that the Authority will undertake the security testing required by paragraph 10.9.</w:t>
      </w:r>
    </w:p>
    <w:p w:rsidR="005F4C24" w:rsidRDefault="004C2B0D">
      <w:pPr>
        <w:keepNext/>
        <w:numPr>
          <w:ilvl w:val="1"/>
          <w:numId w:val="5"/>
        </w:numPr>
        <w:pBdr>
          <w:top w:val="nil"/>
          <w:left w:val="nil"/>
          <w:bottom w:val="nil"/>
          <w:right w:val="nil"/>
          <w:between w:val="nil"/>
        </w:pBdr>
      </w:pPr>
      <w:r>
        <w:rPr>
          <w:color w:val="000000"/>
        </w:rPr>
        <w:t>Where the Authority gives notice under paragraph 10.2:</w:t>
      </w:r>
    </w:p>
    <w:p w:rsidR="005F4C24" w:rsidRDefault="004C2B0D">
      <w:pPr>
        <w:keepNext/>
        <w:numPr>
          <w:ilvl w:val="2"/>
          <w:numId w:val="24"/>
        </w:numPr>
        <w:pBdr>
          <w:top w:val="nil"/>
          <w:left w:val="nil"/>
          <w:bottom w:val="nil"/>
          <w:right w:val="nil"/>
          <w:between w:val="nil"/>
        </w:pBdr>
      </w:pPr>
      <w:r>
        <w:rPr>
          <w:color w:val="000000"/>
        </w:rPr>
        <w:t>the Supplier shall provide such reasonable co-operation as the Authority requests, including:</w:t>
      </w:r>
    </w:p>
    <w:p w:rsidR="005F4C24" w:rsidRDefault="004C2B0D">
      <w:pPr>
        <w:numPr>
          <w:ilvl w:val="3"/>
          <w:numId w:val="24"/>
        </w:numPr>
        <w:pBdr>
          <w:top w:val="nil"/>
          <w:left w:val="nil"/>
          <w:bottom w:val="nil"/>
          <w:right w:val="nil"/>
          <w:between w:val="nil"/>
        </w:pBdr>
      </w:pPr>
      <w:r>
        <w:rPr>
          <w:color w:val="000000"/>
        </w:rPr>
        <w:t xml:space="preserve">such access to the Supplier Information Management System as the Authority may request; and </w:t>
      </w:r>
    </w:p>
    <w:p w:rsidR="005F4C24" w:rsidRDefault="004C2B0D">
      <w:pPr>
        <w:numPr>
          <w:ilvl w:val="3"/>
          <w:numId w:val="5"/>
        </w:numPr>
        <w:pBdr>
          <w:top w:val="nil"/>
          <w:left w:val="nil"/>
          <w:bottom w:val="nil"/>
          <w:right w:val="nil"/>
          <w:between w:val="nil"/>
        </w:pBdr>
      </w:pPr>
      <w:r>
        <w:rPr>
          <w:color w:val="000000"/>
        </w:rPr>
        <w:t>such technical and other information relating to the Information Management System as the Authority requests;</w:t>
      </w:r>
    </w:p>
    <w:p w:rsidR="005F4C24" w:rsidRDefault="004C2B0D">
      <w:pPr>
        <w:numPr>
          <w:ilvl w:val="2"/>
          <w:numId w:val="24"/>
        </w:numPr>
        <w:pBdr>
          <w:top w:val="nil"/>
          <w:left w:val="nil"/>
          <w:bottom w:val="nil"/>
          <w:right w:val="nil"/>
          <w:between w:val="nil"/>
        </w:pBdr>
      </w:pPr>
      <w:bookmarkStart w:id="106" w:name="_heading=h.3oy7u29" w:colFirst="0" w:colLast="0"/>
      <w:bookmarkEnd w:id="106"/>
      <w:r>
        <w:rPr>
          <w:color w:val="000000"/>
        </w:rPr>
        <w:t>the Authority must provide a full, unedited and unredacted copy of the report relating to the IT Health Check as soon as reasonably practicable after the Authority receives a copy of the report; and</w:t>
      </w:r>
    </w:p>
    <w:p w:rsidR="005F4C24" w:rsidRDefault="004C2B0D">
      <w:pPr>
        <w:keepNext/>
        <w:numPr>
          <w:ilvl w:val="2"/>
          <w:numId w:val="11"/>
        </w:numPr>
        <w:pBdr>
          <w:top w:val="nil"/>
          <w:left w:val="nil"/>
          <w:bottom w:val="nil"/>
          <w:right w:val="nil"/>
          <w:between w:val="nil"/>
        </w:pBdr>
        <w:ind w:left="1440"/>
      </w:pPr>
      <w:r>
        <w:rPr>
          <w:color w:val="000000"/>
        </w:rPr>
        <w:lastRenderedPageBreak/>
        <w:t>for the purposes of paragraphs 10.18 to 10.27:</w:t>
      </w:r>
    </w:p>
    <w:p w:rsidR="005F4C24" w:rsidRDefault="004C2B0D">
      <w:pPr>
        <w:numPr>
          <w:ilvl w:val="3"/>
          <w:numId w:val="24"/>
        </w:numPr>
        <w:pBdr>
          <w:top w:val="nil"/>
          <w:left w:val="nil"/>
          <w:bottom w:val="nil"/>
          <w:right w:val="nil"/>
          <w:between w:val="nil"/>
        </w:pBdr>
      </w:pPr>
      <w:r>
        <w:rPr>
          <w:color w:val="000000"/>
        </w:rPr>
        <w:t>the Supplier must treat any IT Health Check commissioned by the Authority as if it were such a report commissioned by the Supplier; and</w:t>
      </w:r>
    </w:p>
    <w:p w:rsidR="005F4C24" w:rsidRDefault="004C2B0D">
      <w:pPr>
        <w:numPr>
          <w:ilvl w:val="3"/>
          <w:numId w:val="5"/>
        </w:numPr>
        <w:pBdr>
          <w:top w:val="nil"/>
          <w:left w:val="nil"/>
          <w:bottom w:val="nil"/>
          <w:right w:val="nil"/>
          <w:between w:val="nil"/>
        </w:pBdr>
      </w:pPr>
      <w:r>
        <w:rPr>
          <w:color w:val="000000"/>
        </w:rPr>
        <w:t>the time limits in paragraphs 10.18 and 10.20 run from the date on which the Authority provides the Supplier with the copy of the report under paragraph (b).</w:t>
      </w:r>
    </w:p>
    <w:p w:rsidR="005F4C24" w:rsidRDefault="004C2B0D">
      <w:pPr>
        <w:keepNext/>
        <w:numPr>
          <w:ilvl w:val="1"/>
          <w:numId w:val="24"/>
        </w:numPr>
        <w:pBdr>
          <w:top w:val="nil"/>
          <w:left w:val="nil"/>
          <w:bottom w:val="nil"/>
          <w:right w:val="nil"/>
          <w:between w:val="nil"/>
        </w:pBdr>
      </w:pPr>
      <w:r>
        <w:rPr>
          <w:color w:val="000000"/>
        </w:rPr>
        <w:t>In addition to its rights under paragraph 10.2, the Authority and/or its authorised representatives may, at any time and without giving notice to the Supplier, carry out such tests (including penetration tests) as it may deem necessary in relation to:</w:t>
      </w:r>
    </w:p>
    <w:p w:rsidR="005F4C24" w:rsidRDefault="004C2B0D">
      <w:pPr>
        <w:numPr>
          <w:ilvl w:val="2"/>
          <w:numId w:val="24"/>
        </w:numPr>
        <w:pBdr>
          <w:top w:val="nil"/>
          <w:left w:val="nil"/>
          <w:bottom w:val="nil"/>
          <w:right w:val="nil"/>
          <w:between w:val="nil"/>
        </w:pBdr>
      </w:pPr>
      <w:r>
        <w:rPr>
          <w:color w:val="000000"/>
        </w:rPr>
        <w:t>the Service;</w:t>
      </w:r>
    </w:p>
    <w:p w:rsidR="005F4C24" w:rsidRDefault="004C2B0D">
      <w:pPr>
        <w:numPr>
          <w:ilvl w:val="2"/>
          <w:numId w:val="5"/>
        </w:numPr>
        <w:pBdr>
          <w:top w:val="nil"/>
          <w:left w:val="nil"/>
          <w:bottom w:val="nil"/>
          <w:right w:val="nil"/>
          <w:between w:val="nil"/>
        </w:pBdr>
      </w:pPr>
      <w:r>
        <w:rPr>
          <w:color w:val="000000"/>
        </w:rPr>
        <w:t>the Supplier Information Management System; and/or</w:t>
      </w:r>
    </w:p>
    <w:p w:rsidR="005F4C24" w:rsidRDefault="004C2B0D">
      <w:pPr>
        <w:numPr>
          <w:ilvl w:val="2"/>
          <w:numId w:val="24"/>
        </w:numPr>
        <w:pBdr>
          <w:top w:val="nil"/>
          <w:left w:val="nil"/>
          <w:bottom w:val="nil"/>
          <w:right w:val="nil"/>
          <w:between w:val="nil"/>
        </w:pBdr>
      </w:pPr>
      <w:r>
        <w:rPr>
          <w:color w:val="000000"/>
        </w:rPr>
        <w:t>the Supplier's compliance with the Security Management Plan</w:t>
      </w:r>
    </w:p>
    <w:p w:rsidR="005F4C24" w:rsidRDefault="004C2B0D">
      <w:pPr>
        <w:pStyle w:val="Heading3"/>
        <w:ind w:left="720" w:firstLine="720"/>
      </w:pPr>
      <w:r>
        <w:t>(</w:t>
      </w:r>
      <w:r>
        <w:rPr>
          <w:b/>
        </w:rPr>
        <w:t>Authority Security Tests</w:t>
      </w:r>
      <w:r>
        <w:t>).</w:t>
      </w:r>
    </w:p>
    <w:p w:rsidR="005F4C24" w:rsidRDefault="004C2B0D">
      <w:pPr>
        <w:numPr>
          <w:ilvl w:val="1"/>
          <w:numId w:val="24"/>
        </w:numPr>
        <w:pBdr>
          <w:top w:val="nil"/>
          <w:left w:val="nil"/>
          <w:bottom w:val="nil"/>
          <w:right w:val="nil"/>
          <w:between w:val="nil"/>
        </w:pBdr>
      </w:pPr>
      <w:r>
        <w:rPr>
          <w:color w:val="000000"/>
        </w:rPr>
        <w:t xml:space="preserve">The Authority shall take reasonable steps to notify the Supplier prior to carrying out such Authority Security Tests to the extent that it is reasonably practicable for it to do so </w:t>
      </w:r>
      <w:proofErr w:type="gramStart"/>
      <w:r>
        <w:rPr>
          <w:color w:val="000000"/>
        </w:rPr>
        <w:t>taking into account</w:t>
      </w:r>
      <w:proofErr w:type="gramEnd"/>
      <w:r>
        <w:rPr>
          <w:color w:val="000000"/>
        </w:rPr>
        <w:t xml:space="preserve"> the nature of the Authority Security Tests.</w:t>
      </w:r>
    </w:p>
    <w:p w:rsidR="005F4C24" w:rsidRDefault="004C2B0D">
      <w:pPr>
        <w:numPr>
          <w:ilvl w:val="1"/>
          <w:numId w:val="5"/>
        </w:numPr>
        <w:pBdr>
          <w:top w:val="nil"/>
          <w:left w:val="nil"/>
          <w:bottom w:val="nil"/>
          <w:right w:val="nil"/>
          <w:between w:val="nil"/>
        </w:pBdr>
      </w:pPr>
      <w:r>
        <w:rPr>
          <w:color w:val="000000"/>
        </w:rPr>
        <w:t>The Authority shall notify the Supplier of the results of such Authority Security Tests after completion of each Authority Security Test.</w:t>
      </w:r>
    </w:p>
    <w:p w:rsidR="005F4C24" w:rsidRDefault="004C2B0D">
      <w:pPr>
        <w:numPr>
          <w:ilvl w:val="1"/>
          <w:numId w:val="24"/>
        </w:numPr>
        <w:pBdr>
          <w:top w:val="nil"/>
          <w:left w:val="nil"/>
          <w:bottom w:val="nil"/>
          <w:right w:val="nil"/>
          <w:between w:val="nil"/>
        </w:pBdr>
      </w:pPr>
      <w:r>
        <w:rPr>
          <w:color w:val="000000"/>
        </w:rPr>
        <w:t>The Authority shall design and implement the Authority Security Tests to minimise their impact on the delivery of the Services.</w:t>
      </w:r>
    </w:p>
    <w:p w:rsidR="005F4C24" w:rsidRDefault="004C2B0D">
      <w:pPr>
        <w:numPr>
          <w:ilvl w:val="1"/>
          <w:numId w:val="5"/>
        </w:numPr>
        <w:pBdr>
          <w:top w:val="nil"/>
          <w:left w:val="nil"/>
          <w:bottom w:val="nil"/>
          <w:right w:val="nil"/>
          <w:between w:val="nil"/>
        </w:pBdr>
      </w:pPr>
      <w:r>
        <w:rPr>
          <w:color w:val="000000"/>
        </w:rPr>
        <w:t>If an Authority Security Tests causes Supplier Non-Performance, the Authority Security Tests shall be treated as an Authority Cause, except where the root cause of the Supplier Non-Performance was a security-related weakness or vulnerability exposed by the Authority Security Tests.</w:t>
      </w:r>
    </w:p>
    <w:p w:rsidR="005F4C24" w:rsidRDefault="004C2B0D">
      <w:pPr>
        <w:keepNext/>
        <w:pBdr>
          <w:top w:val="nil"/>
          <w:left w:val="nil"/>
          <w:bottom w:val="nil"/>
          <w:right w:val="nil"/>
          <w:between w:val="nil"/>
        </w:pBdr>
        <w:ind w:left="720"/>
        <w:rPr>
          <w:b/>
          <w:color w:val="000000"/>
        </w:rPr>
      </w:pPr>
      <w:r>
        <w:rPr>
          <w:b/>
          <w:color w:val="000000"/>
        </w:rPr>
        <w:t>Security tests by Supplier</w:t>
      </w:r>
    </w:p>
    <w:p w:rsidR="005F4C24" w:rsidRDefault="004C2B0D">
      <w:pPr>
        <w:keepNext/>
        <w:numPr>
          <w:ilvl w:val="1"/>
          <w:numId w:val="24"/>
        </w:numPr>
        <w:pBdr>
          <w:top w:val="nil"/>
          <w:left w:val="nil"/>
          <w:bottom w:val="nil"/>
          <w:right w:val="nil"/>
          <w:between w:val="nil"/>
        </w:pBdr>
      </w:pPr>
      <w:bookmarkStart w:id="107" w:name="_heading=h.243i4a2" w:colFirst="0" w:colLast="0"/>
      <w:bookmarkEnd w:id="107"/>
      <w:r>
        <w:rPr>
          <w:color w:val="000000"/>
        </w:rPr>
        <w:t>The Supplier must:</w:t>
      </w:r>
    </w:p>
    <w:p w:rsidR="005F4C24" w:rsidRDefault="004C2B0D">
      <w:pPr>
        <w:numPr>
          <w:ilvl w:val="2"/>
          <w:numId w:val="24"/>
        </w:numPr>
        <w:pBdr>
          <w:top w:val="nil"/>
          <w:left w:val="nil"/>
          <w:bottom w:val="nil"/>
          <w:right w:val="nil"/>
          <w:between w:val="nil"/>
        </w:pBdr>
      </w:pPr>
      <w:r>
        <w:rPr>
          <w:color w:val="000000"/>
        </w:rPr>
        <w:t>before submitting the draft Security Management Plan to the Authority for an Assurance Decision;</w:t>
      </w:r>
    </w:p>
    <w:p w:rsidR="005F4C24" w:rsidRDefault="004C2B0D">
      <w:pPr>
        <w:numPr>
          <w:ilvl w:val="2"/>
          <w:numId w:val="5"/>
        </w:numPr>
        <w:pBdr>
          <w:top w:val="nil"/>
          <w:left w:val="nil"/>
          <w:bottom w:val="nil"/>
          <w:right w:val="nil"/>
          <w:between w:val="nil"/>
        </w:pBdr>
      </w:pPr>
      <w:r>
        <w:rPr>
          <w:color w:val="000000"/>
        </w:rPr>
        <w:t>at least once during each Contract Year; and</w:t>
      </w:r>
    </w:p>
    <w:p w:rsidR="005F4C24" w:rsidRDefault="004C2B0D">
      <w:pPr>
        <w:numPr>
          <w:ilvl w:val="2"/>
          <w:numId w:val="24"/>
        </w:numPr>
        <w:pBdr>
          <w:top w:val="nil"/>
          <w:left w:val="nil"/>
          <w:bottom w:val="nil"/>
          <w:right w:val="nil"/>
          <w:between w:val="nil"/>
        </w:pBdr>
      </w:pPr>
      <w:r>
        <w:rPr>
          <w:color w:val="000000"/>
        </w:rPr>
        <w:t>when required to do so by the Authority;</w:t>
      </w:r>
    </w:p>
    <w:p w:rsidR="005F4C24" w:rsidRDefault="004C2B0D">
      <w:pPr>
        <w:pStyle w:val="Heading4"/>
        <w:keepNext/>
        <w:ind w:left="720" w:firstLine="1440"/>
      </w:pPr>
      <w:r>
        <w:t>undertake the following activities:</w:t>
      </w:r>
    </w:p>
    <w:p w:rsidR="005F4C24" w:rsidRDefault="004C2B0D">
      <w:pPr>
        <w:numPr>
          <w:ilvl w:val="2"/>
          <w:numId w:val="24"/>
        </w:numPr>
        <w:pBdr>
          <w:top w:val="nil"/>
          <w:left w:val="nil"/>
          <w:bottom w:val="nil"/>
          <w:right w:val="nil"/>
          <w:between w:val="nil"/>
        </w:pBdr>
      </w:pPr>
      <w:bookmarkStart w:id="108" w:name="_heading=h.j8sehv" w:colFirst="0" w:colLast="0"/>
      <w:bookmarkEnd w:id="108"/>
      <w:r>
        <w:rPr>
          <w:color w:val="000000"/>
        </w:rPr>
        <w:t>conduct security testing of the Supplier Information Management System, insofar as it relates to the Developed System but excluding the Development Environment (</w:t>
      </w:r>
      <w:r>
        <w:rPr>
          <w:b/>
          <w:color w:val="000000"/>
        </w:rPr>
        <w:t>IT Health Check</w:t>
      </w:r>
      <w:r>
        <w:rPr>
          <w:color w:val="000000"/>
        </w:rPr>
        <w:t>) in accordance with paragraph 10.15 to 10.17; and</w:t>
      </w:r>
    </w:p>
    <w:p w:rsidR="005F4C24" w:rsidRDefault="004C2B0D">
      <w:pPr>
        <w:numPr>
          <w:ilvl w:val="2"/>
          <w:numId w:val="5"/>
        </w:numPr>
        <w:pBdr>
          <w:top w:val="nil"/>
          <w:left w:val="nil"/>
          <w:bottom w:val="nil"/>
          <w:right w:val="nil"/>
          <w:between w:val="nil"/>
        </w:pBdr>
      </w:pPr>
      <w:r>
        <w:rPr>
          <w:color w:val="000000"/>
        </w:rPr>
        <w:t>implement any findings, and remedy any vulnerabilities identified by the IT Health Check in accordance with paragraphs 10.18 to 10.27.</w:t>
      </w:r>
    </w:p>
    <w:p w:rsidR="005F4C24" w:rsidRDefault="004C2B0D">
      <w:pPr>
        <w:keepNext/>
        <w:numPr>
          <w:ilvl w:val="1"/>
          <w:numId w:val="24"/>
        </w:numPr>
        <w:pBdr>
          <w:top w:val="nil"/>
          <w:left w:val="nil"/>
          <w:bottom w:val="nil"/>
          <w:right w:val="nil"/>
          <w:between w:val="nil"/>
        </w:pBdr>
      </w:pPr>
      <w:r>
        <w:rPr>
          <w:color w:val="000000"/>
        </w:rPr>
        <w:lastRenderedPageBreak/>
        <w:t>In addition to its obligations under paragraph 10.9, the Supplier must undertake any tests required by:</w:t>
      </w:r>
    </w:p>
    <w:p w:rsidR="005F4C24" w:rsidRDefault="004C2B0D">
      <w:pPr>
        <w:numPr>
          <w:ilvl w:val="2"/>
          <w:numId w:val="24"/>
        </w:numPr>
        <w:pBdr>
          <w:top w:val="nil"/>
          <w:left w:val="nil"/>
          <w:bottom w:val="nil"/>
          <w:right w:val="nil"/>
          <w:between w:val="nil"/>
        </w:pBdr>
      </w:pPr>
      <w:r>
        <w:rPr>
          <w:color w:val="000000"/>
        </w:rPr>
        <w:t>any Remediation Action Plan;</w:t>
      </w:r>
    </w:p>
    <w:p w:rsidR="005F4C24" w:rsidRDefault="004C2B0D">
      <w:pPr>
        <w:numPr>
          <w:ilvl w:val="2"/>
          <w:numId w:val="5"/>
        </w:numPr>
        <w:pBdr>
          <w:top w:val="nil"/>
          <w:left w:val="nil"/>
          <w:bottom w:val="nil"/>
          <w:right w:val="nil"/>
          <w:between w:val="nil"/>
        </w:pBdr>
      </w:pPr>
      <w:r>
        <w:rPr>
          <w:color w:val="000000"/>
        </w:rPr>
        <w:t>the ISO27001 Certification Requirements;</w:t>
      </w:r>
    </w:p>
    <w:p w:rsidR="005F4C24" w:rsidRDefault="004C2B0D">
      <w:pPr>
        <w:numPr>
          <w:ilvl w:val="2"/>
          <w:numId w:val="24"/>
        </w:numPr>
        <w:pBdr>
          <w:top w:val="nil"/>
          <w:left w:val="nil"/>
          <w:bottom w:val="nil"/>
          <w:right w:val="nil"/>
          <w:between w:val="nil"/>
        </w:pBdr>
      </w:pPr>
      <w:r>
        <w:rPr>
          <w:color w:val="000000"/>
        </w:rPr>
        <w:t>the Security Management Plan; and</w:t>
      </w:r>
    </w:p>
    <w:p w:rsidR="005F4C24" w:rsidRDefault="004C2B0D">
      <w:pPr>
        <w:numPr>
          <w:ilvl w:val="2"/>
          <w:numId w:val="11"/>
        </w:numPr>
        <w:pBdr>
          <w:top w:val="nil"/>
          <w:left w:val="nil"/>
          <w:bottom w:val="nil"/>
          <w:right w:val="nil"/>
          <w:between w:val="nil"/>
        </w:pBdr>
        <w:ind w:left="1440"/>
      </w:pPr>
      <w:r>
        <w:rPr>
          <w:color w:val="000000"/>
        </w:rPr>
        <w:t>the Authority, following a Breach of Security or a significant change, as assessed by the Authority, to the components or architecture of the Supplier Information Management System,</w:t>
      </w:r>
    </w:p>
    <w:p w:rsidR="005F4C24" w:rsidRDefault="004C2B0D">
      <w:pPr>
        <w:pStyle w:val="Heading3"/>
        <w:ind w:left="720" w:firstLine="720"/>
      </w:pPr>
      <w:r>
        <w:t xml:space="preserve">(each a </w:t>
      </w:r>
      <w:r>
        <w:rPr>
          <w:b/>
        </w:rPr>
        <w:t>Supplier</w:t>
      </w:r>
      <w:r>
        <w:t xml:space="preserve"> </w:t>
      </w:r>
      <w:r>
        <w:rPr>
          <w:b/>
        </w:rPr>
        <w:t>Security Test</w:t>
      </w:r>
      <w:r>
        <w:t>).</w:t>
      </w:r>
    </w:p>
    <w:p w:rsidR="005F4C24" w:rsidRDefault="004C2B0D">
      <w:pPr>
        <w:keepNext/>
        <w:numPr>
          <w:ilvl w:val="1"/>
          <w:numId w:val="24"/>
        </w:numPr>
        <w:pBdr>
          <w:top w:val="nil"/>
          <w:left w:val="nil"/>
          <w:bottom w:val="nil"/>
          <w:right w:val="nil"/>
          <w:between w:val="nil"/>
        </w:pBdr>
      </w:pPr>
      <w:bookmarkStart w:id="109" w:name="_heading=h.338fx5o" w:colFirst="0" w:colLast="0"/>
      <w:bookmarkEnd w:id="109"/>
      <w:r>
        <w:rPr>
          <w:color w:val="000000"/>
        </w:rPr>
        <w:t>The Supplier must:</w:t>
      </w:r>
    </w:p>
    <w:p w:rsidR="005F4C24" w:rsidRDefault="004C2B0D">
      <w:pPr>
        <w:numPr>
          <w:ilvl w:val="2"/>
          <w:numId w:val="24"/>
        </w:numPr>
        <w:pBdr>
          <w:top w:val="nil"/>
          <w:left w:val="nil"/>
          <w:bottom w:val="nil"/>
          <w:right w:val="nil"/>
          <w:between w:val="nil"/>
        </w:pBdr>
      </w:pPr>
      <w:r>
        <w:rPr>
          <w:color w:val="000000"/>
        </w:rPr>
        <w:t>design and implement the Supplier Security Tests so as to minimise the impact on the delivery of the Services;</w:t>
      </w:r>
    </w:p>
    <w:p w:rsidR="005F4C24" w:rsidRDefault="004C2B0D">
      <w:pPr>
        <w:numPr>
          <w:ilvl w:val="2"/>
          <w:numId w:val="5"/>
        </w:numPr>
        <w:pBdr>
          <w:top w:val="nil"/>
          <w:left w:val="nil"/>
          <w:bottom w:val="nil"/>
          <w:right w:val="nil"/>
          <w:between w:val="nil"/>
        </w:pBdr>
      </w:pPr>
      <w:r>
        <w:rPr>
          <w:color w:val="000000"/>
        </w:rPr>
        <w:t>agree the date, timing, content and conduct of such Supplier Security Tests in advance with the Authority.</w:t>
      </w:r>
    </w:p>
    <w:p w:rsidR="005F4C24" w:rsidRDefault="004C2B0D">
      <w:pPr>
        <w:numPr>
          <w:ilvl w:val="1"/>
          <w:numId w:val="24"/>
        </w:numPr>
        <w:pBdr>
          <w:top w:val="nil"/>
          <w:left w:val="nil"/>
          <w:bottom w:val="nil"/>
          <w:right w:val="nil"/>
          <w:between w:val="nil"/>
        </w:pBdr>
      </w:pPr>
      <w:r>
        <w:rPr>
          <w:color w:val="000000"/>
        </w:rPr>
        <w:t>Where the Supplier fully complies with paragraph 10.11, if a Supplier Security Test causes a Performance Failure in a particular Measurement Period, the Supplier shall be entitled to relief in respect of such Performance Failure for that Measurement Period.</w:t>
      </w:r>
    </w:p>
    <w:p w:rsidR="005F4C24" w:rsidRDefault="004C2B0D">
      <w:pPr>
        <w:numPr>
          <w:ilvl w:val="1"/>
          <w:numId w:val="5"/>
        </w:numPr>
        <w:pBdr>
          <w:top w:val="nil"/>
          <w:left w:val="nil"/>
          <w:bottom w:val="nil"/>
          <w:right w:val="nil"/>
          <w:between w:val="nil"/>
        </w:pBdr>
      </w:pPr>
      <w:r>
        <w:rPr>
          <w:color w:val="000000"/>
        </w:rPr>
        <w:t xml:space="preserve">The Authority may send a representative to witness the conduct of the Supplier Security Tests. </w:t>
      </w:r>
    </w:p>
    <w:p w:rsidR="005F4C24" w:rsidRDefault="004C2B0D">
      <w:pPr>
        <w:numPr>
          <w:ilvl w:val="1"/>
          <w:numId w:val="24"/>
        </w:numPr>
        <w:pBdr>
          <w:top w:val="nil"/>
          <w:left w:val="nil"/>
          <w:bottom w:val="nil"/>
          <w:right w:val="nil"/>
          <w:between w:val="nil"/>
        </w:pBdr>
      </w:pPr>
      <w:r>
        <w:rPr>
          <w:color w:val="000000"/>
        </w:rPr>
        <w:t>The Supplier shall provide the Authority with a full, unedited and unredacted copy of the results of such Security Tests (in a form approved by the Authority in advance) as soon as practicable, and in any case within ten Working Days, after completion of each Supplier Security Test</w:t>
      </w:r>
    </w:p>
    <w:p w:rsidR="005F4C24" w:rsidRDefault="004C2B0D">
      <w:pPr>
        <w:keepNext/>
        <w:pBdr>
          <w:top w:val="nil"/>
          <w:left w:val="nil"/>
          <w:bottom w:val="nil"/>
          <w:right w:val="nil"/>
          <w:between w:val="nil"/>
        </w:pBdr>
        <w:ind w:left="720"/>
        <w:rPr>
          <w:b/>
          <w:color w:val="000000"/>
        </w:rPr>
      </w:pPr>
      <w:bookmarkStart w:id="110" w:name="_heading=h.1idq7dh" w:colFirst="0" w:colLast="0"/>
      <w:bookmarkEnd w:id="110"/>
      <w:r>
        <w:rPr>
          <w:b/>
          <w:color w:val="000000"/>
        </w:rPr>
        <w:t>IT Health Checks</w:t>
      </w:r>
    </w:p>
    <w:p w:rsidR="005F4C24" w:rsidRDefault="004C2B0D">
      <w:pPr>
        <w:keepNext/>
        <w:numPr>
          <w:ilvl w:val="1"/>
          <w:numId w:val="24"/>
        </w:numPr>
        <w:pBdr>
          <w:top w:val="nil"/>
          <w:left w:val="nil"/>
          <w:bottom w:val="nil"/>
          <w:right w:val="nil"/>
          <w:between w:val="nil"/>
        </w:pBdr>
      </w:pPr>
      <w:bookmarkStart w:id="111" w:name="_heading=h.42ddq1a" w:colFirst="0" w:colLast="0"/>
      <w:bookmarkEnd w:id="111"/>
      <w:r>
        <w:rPr>
          <w:color w:val="000000"/>
        </w:rPr>
        <w:t>In arranging an IT Health Check, the Supplier must:</w:t>
      </w:r>
    </w:p>
    <w:p w:rsidR="005F4C24" w:rsidRDefault="004C2B0D">
      <w:pPr>
        <w:numPr>
          <w:ilvl w:val="2"/>
          <w:numId w:val="24"/>
        </w:numPr>
        <w:pBdr>
          <w:top w:val="nil"/>
          <w:left w:val="nil"/>
          <w:bottom w:val="nil"/>
          <w:right w:val="nil"/>
          <w:between w:val="nil"/>
        </w:pBdr>
      </w:pPr>
      <w:r>
        <w:rPr>
          <w:color w:val="000000"/>
        </w:rPr>
        <w:t>use only a CHECK Service Provider to perform the IT Health Check;</w:t>
      </w:r>
    </w:p>
    <w:p w:rsidR="005F4C24" w:rsidRDefault="004C2B0D">
      <w:pPr>
        <w:numPr>
          <w:ilvl w:val="2"/>
          <w:numId w:val="5"/>
        </w:numPr>
        <w:pBdr>
          <w:top w:val="nil"/>
          <w:left w:val="nil"/>
          <w:bottom w:val="nil"/>
          <w:right w:val="nil"/>
          <w:between w:val="nil"/>
        </w:pBdr>
      </w:pPr>
      <w:r>
        <w:rPr>
          <w:color w:val="000000"/>
        </w:rPr>
        <w:t>design and plan for the IT Health Check so as to minimise the impact of the IT Health Check on the Supplier Information Management System and the delivery of the Services.</w:t>
      </w:r>
    </w:p>
    <w:p w:rsidR="005F4C24" w:rsidRDefault="004C2B0D">
      <w:pPr>
        <w:numPr>
          <w:ilvl w:val="2"/>
          <w:numId w:val="24"/>
        </w:numPr>
        <w:pBdr>
          <w:top w:val="nil"/>
          <w:left w:val="nil"/>
          <w:bottom w:val="nil"/>
          <w:right w:val="nil"/>
          <w:between w:val="nil"/>
        </w:pBdr>
      </w:pPr>
      <w:r>
        <w:rPr>
          <w:color w:val="000000"/>
        </w:rPr>
        <w:t>promptly provide the Authority with such technical and other information relating to the Information Management System as the Authority requests;</w:t>
      </w:r>
    </w:p>
    <w:p w:rsidR="005F4C24" w:rsidRDefault="004C2B0D">
      <w:pPr>
        <w:numPr>
          <w:ilvl w:val="2"/>
          <w:numId w:val="5"/>
        </w:numPr>
        <w:pBdr>
          <w:top w:val="nil"/>
          <w:left w:val="nil"/>
          <w:bottom w:val="nil"/>
          <w:right w:val="nil"/>
          <w:between w:val="nil"/>
        </w:pBdr>
      </w:pPr>
      <w:r>
        <w:rPr>
          <w:color w:val="000000"/>
        </w:rPr>
        <w:t>include within the scope of the IT Health Check such tests as the Authority requires;</w:t>
      </w:r>
    </w:p>
    <w:p w:rsidR="005F4C24" w:rsidRDefault="004C2B0D">
      <w:pPr>
        <w:numPr>
          <w:ilvl w:val="2"/>
          <w:numId w:val="24"/>
        </w:numPr>
        <w:pBdr>
          <w:top w:val="nil"/>
          <w:left w:val="nil"/>
          <w:bottom w:val="nil"/>
          <w:right w:val="nil"/>
          <w:between w:val="nil"/>
        </w:pBdr>
      </w:pPr>
      <w:r>
        <w:rPr>
          <w:color w:val="000000"/>
        </w:rPr>
        <w:t>agree with the Authority the scope, aim and timing of the IT Health Check.</w:t>
      </w:r>
    </w:p>
    <w:p w:rsidR="005F4C24" w:rsidRDefault="004C2B0D">
      <w:pPr>
        <w:numPr>
          <w:ilvl w:val="1"/>
          <w:numId w:val="24"/>
        </w:numPr>
        <w:pBdr>
          <w:top w:val="nil"/>
          <w:left w:val="nil"/>
          <w:bottom w:val="nil"/>
          <w:right w:val="nil"/>
          <w:between w:val="nil"/>
        </w:pBdr>
      </w:pPr>
      <w:r>
        <w:rPr>
          <w:color w:val="000000"/>
        </w:rPr>
        <w:t>The Supplier must commission the IT Health Check in accordance with the scope, aim and timing agreed by the Authority.</w:t>
      </w:r>
    </w:p>
    <w:p w:rsidR="005F4C24" w:rsidRDefault="004C2B0D">
      <w:pPr>
        <w:numPr>
          <w:ilvl w:val="1"/>
          <w:numId w:val="5"/>
        </w:numPr>
        <w:pBdr>
          <w:top w:val="nil"/>
          <w:left w:val="nil"/>
          <w:bottom w:val="nil"/>
          <w:right w:val="nil"/>
          <w:between w:val="nil"/>
        </w:pBdr>
      </w:pPr>
      <w:bookmarkStart w:id="112" w:name="_heading=h.2hio093" w:colFirst="0" w:colLast="0"/>
      <w:bookmarkEnd w:id="112"/>
      <w:r>
        <w:rPr>
          <w:color w:val="000000"/>
        </w:rPr>
        <w:t>Following completion of an IT Health Check, the Supplier must provide the Authority with a full, unedited and unredacted copy of the report relating to the IT Health Check without delay and in any event within ten Working Days of its receipt by the Supplier.</w:t>
      </w:r>
    </w:p>
    <w:p w:rsidR="005F4C24" w:rsidRDefault="004C2B0D">
      <w:pPr>
        <w:keepNext/>
        <w:pBdr>
          <w:top w:val="nil"/>
          <w:left w:val="nil"/>
          <w:bottom w:val="nil"/>
          <w:right w:val="nil"/>
          <w:between w:val="nil"/>
        </w:pBdr>
        <w:ind w:left="720"/>
        <w:rPr>
          <w:b/>
          <w:color w:val="000000"/>
        </w:rPr>
      </w:pPr>
      <w:bookmarkStart w:id="113" w:name="_heading=h.wnyagw" w:colFirst="0" w:colLast="0"/>
      <w:bookmarkEnd w:id="113"/>
      <w:r>
        <w:rPr>
          <w:b/>
          <w:color w:val="000000"/>
        </w:rPr>
        <w:lastRenderedPageBreak/>
        <w:t>Remedying vulnerabilities</w:t>
      </w:r>
    </w:p>
    <w:p w:rsidR="005F4C24" w:rsidRDefault="004C2B0D">
      <w:pPr>
        <w:keepNext/>
        <w:numPr>
          <w:ilvl w:val="1"/>
          <w:numId w:val="24"/>
        </w:numPr>
        <w:pBdr>
          <w:top w:val="nil"/>
          <w:left w:val="nil"/>
          <w:bottom w:val="nil"/>
          <w:right w:val="nil"/>
          <w:between w:val="nil"/>
        </w:pBdr>
      </w:pPr>
      <w:bookmarkStart w:id="114" w:name="_heading=h.3gnlt4p" w:colFirst="0" w:colLast="0"/>
      <w:bookmarkEnd w:id="114"/>
      <w:r>
        <w:rPr>
          <w:color w:val="000000"/>
        </w:rPr>
        <w:t>In addition to complying with paragraphs 10.20 to 10.27, the Supplier must remedy:</w:t>
      </w:r>
    </w:p>
    <w:p w:rsidR="005F4C24" w:rsidRDefault="004C2B0D">
      <w:pPr>
        <w:numPr>
          <w:ilvl w:val="2"/>
          <w:numId w:val="24"/>
        </w:numPr>
        <w:pBdr>
          <w:top w:val="nil"/>
          <w:left w:val="nil"/>
          <w:bottom w:val="nil"/>
          <w:right w:val="nil"/>
          <w:between w:val="nil"/>
        </w:pBdr>
      </w:pPr>
      <w:r>
        <w:rPr>
          <w:color w:val="000000"/>
        </w:rPr>
        <w:t>any vulnerabilities classified as critical in a Security Test report within five Working Days of becoming aware of the vulnerability and its classification;</w:t>
      </w:r>
    </w:p>
    <w:p w:rsidR="005F4C24" w:rsidRDefault="004C2B0D">
      <w:pPr>
        <w:numPr>
          <w:ilvl w:val="2"/>
          <w:numId w:val="5"/>
        </w:numPr>
        <w:pBdr>
          <w:top w:val="nil"/>
          <w:left w:val="nil"/>
          <w:bottom w:val="nil"/>
          <w:right w:val="nil"/>
          <w:between w:val="nil"/>
        </w:pBdr>
      </w:pPr>
      <w:r>
        <w:rPr>
          <w:color w:val="000000"/>
        </w:rPr>
        <w:t>any vulnerabilities classified as high in a Security Test report within 1 month of becoming aware of the vulnerability and its classification; and</w:t>
      </w:r>
    </w:p>
    <w:p w:rsidR="005F4C24" w:rsidRDefault="004C2B0D">
      <w:pPr>
        <w:numPr>
          <w:ilvl w:val="2"/>
          <w:numId w:val="24"/>
        </w:numPr>
        <w:pBdr>
          <w:top w:val="nil"/>
          <w:left w:val="nil"/>
          <w:bottom w:val="nil"/>
          <w:right w:val="nil"/>
          <w:between w:val="nil"/>
        </w:pBdr>
      </w:pPr>
      <w:r>
        <w:rPr>
          <w:color w:val="000000"/>
        </w:rPr>
        <w:t>any vulnerabilities classified as medium in a Security Test report within 3 months of becoming aware of the vulnerability and its classification.</w:t>
      </w:r>
    </w:p>
    <w:p w:rsidR="005F4C24" w:rsidRDefault="004C2B0D">
      <w:pPr>
        <w:numPr>
          <w:ilvl w:val="1"/>
          <w:numId w:val="24"/>
        </w:numPr>
        <w:pBdr>
          <w:top w:val="nil"/>
          <w:left w:val="nil"/>
          <w:bottom w:val="nil"/>
          <w:right w:val="nil"/>
          <w:between w:val="nil"/>
        </w:pBdr>
      </w:pPr>
      <w:r>
        <w:rPr>
          <w:color w:val="000000"/>
        </w:rPr>
        <w:t>The Supplier must notify the Authority immediately if it does not, or considers it will not be able to, remedy the vulnerabilities classified as critical, high or medium in a Security Test report within the time periods specified in paragraph 10.18.</w:t>
      </w:r>
    </w:p>
    <w:p w:rsidR="005F4C24" w:rsidRDefault="004C2B0D">
      <w:pPr>
        <w:keepNext/>
        <w:pBdr>
          <w:top w:val="nil"/>
          <w:left w:val="nil"/>
          <w:bottom w:val="nil"/>
          <w:right w:val="nil"/>
          <w:between w:val="nil"/>
        </w:pBdr>
        <w:ind w:left="720"/>
        <w:rPr>
          <w:b/>
          <w:color w:val="000000"/>
        </w:rPr>
      </w:pPr>
      <w:bookmarkStart w:id="115" w:name="_heading=h.1vsw3ci" w:colFirst="0" w:colLast="0"/>
      <w:bookmarkEnd w:id="115"/>
      <w:r>
        <w:rPr>
          <w:b/>
          <w:color w:val="000000"/>
        </w:rPr>
        <w:t>Responding to a Security Test report</w:t>
      </w:r>
    </w:p>
    <w:p w:rsidR="005F4C24" w:rsidRDefault="004C2B0D">
      <w:pPr>
        <w:numPr>
          <w:ilvl w:val="1"/>
          <w:numId w:val="24"/>
        </w:numPr>
        <w:pBdr>
          <w:top w:val="nil"/>
          <w:left w:val="nil"/>
          <w:bottom w:val="nil"/>
          <w:right w:val="nil"/>
          <w:between w:val="nil"/>
        </w:pBdr>
      </w:pPr>
      <w:bookmarkStart w:id="116" w:name="_heading=h.4fsjm0b" w:colFirst="0" w:colLast="0"/>
      <w:bookmarkEnd w:id="116"/>
      <w:r>
        <w:rPr>
          <w:color w:val="000000"/>
        </w:rPr>
        <w:t xml:space="preserve">Where the Security Test report identifies vulnerabilities in, or makes findings in respect of, the Supplier Information Management System, the Supplier must within </w:t>
      </w:r>
      <w:r>
        <w:rPr>
          <w:highlight w:val="white"/>
        </w:rPr>
        <w:t>10</w:t>
      </w:r>
      <w:r>
        <w:rPr>
          <w:color w:val="000000"/>
        </w:rPr>
        <w:t xml:space="preserve"> Working Days of receiving the Security Test report, prepare and submit for approval to the Authority a draft plan addressing the vulnerabilities and findings (</w:t>
      </w:r>
      <w:r>
        <w:rPr>
          <w:b/>
          <w:color w:val="000000"/>
        </w:rPr>
        <w:t>Remediation Action Plan</w:t>
      </w:r>
      <w:r>
        <w:rPr>
          <w:color w:val="000000"/>
        </w:rPr>
        <w:t>).</w:t>
      </w:r>
    </w:p>
    <w:p w:rsidR="005F4C24" w:rsidRDefault="004C2B0D">
      <w:pPr>
        <w:numPr>
          <w:ilvl w:val="1"/>
          <w:numId w:val="5"/>
        </w:numPr>
        <w:pBdr>
          <w:top w:val="nil"/>
          <w:left w:val="nil"/>
          <w:bottom w:val="nil"/>
          <w:right w:val="nil"/>
          <w:between w:val="nil"/>
        </w:pBdr>
      </w:pPr>
      <w:bookmarkStart w:id="117" w:name="_heading=h.2uxtw84" w:colFirst="0" w:colLast="0"/>
      <w:bookmarkEnd w:id="117"/>
      <w:r>
        <w:rPr>
          <w:color w:val="000000"/>
        </w:rPr>
        <w:t>Where the Authority has commissioned a root cause analysis under paragraph 10.28, the Supplier shall ensure that the draft Remediation Action Plan addresses that analysis.</w:t>
      </w:r>
    </w:p>
    <w:p w:rsidR="005F4C24" w:rsidRDefault="004C2B0D">
      <w:pPr>
        <w:keepNext/>
        <w:numPr>
          <w:ilvl w:val="1"/>
          <w:numId w:val="24"/>
        </w:numPr>
        <w:pBdr>
          <w:top w:val="nil"/>
          <w:left w:val="nil"/>
          <w:bottom w:val="nil"/>
          <w:right w:val="nil"/>
          <w:between w:val="nil"/>
        </w:pBdr>
      </w:pPr>
      <w:bookmarkStart w:id="118" w:name="_heading=h.1a346fx" w:colFirst="0" w:colLast="0"/>
      <w:bookmarkEnd w:id="118"/>
      <w:r>
        <w:rPr>
          <w:color w:val="000000"/>
        </w:rPr>
        <w:t>The draft Remediation Action Plan must, in respect of each vulnerability identified or finding made by the Security Test report:</w:t>
      </w:r>
    </w:p>
    <w:p w:rsidR="005F4C24" w:rsidRDefault="004C2B0D">
      <w:pPr>
        <w:numPr>
          <w:ilvl w:val="2"/>
          <w:numId w:val="24"/>
        </w:numPr>
        <w:pBdr>
          <w:top w:val="nil"/>
          <w:left w:val="nil"/>
          <w:bottom w:val="nil"/>
          <w:right w:val="nil"/>
          <w:between w:val="nil"/>
        </w:pBdr>
      </w:pPr>
      <w:r>
        <w:rPr>
          <w:color w:val="000000"/>
        </w:rPr>
        <w:t>how the vulnerability or finding will be remedied;</w:t>
      </w:r>
    </w:p>
    <w:p w:rsidR="005F4C24" w:rsidRDefault="004C2B0D">
      <w:pPr>
        <w:numPr>
          <w:ilvl w:val="2"/>
          <w:numId w:val="5"/>
        </w:numPr>
        <w:pBdr>
          <w:top w:val="nil"/>
          <w:left w:val="nil"/>
          <w:bottom w:val="nil"/>
          <w:right w:val="nil"/>
          <w:between w:val="nil"/>
        </w:pBdr>
      </w:pPr>
      <w:r>
        <w:rPr>
          <w:color w:val="000000"/>
        </w:rPr>
        <w:t>the date by which the vulnerability or finding will be remedied; and</w:t>
      </w:r>
    </w:p>
    <w:p w:rsidR="005F4C24" w:rsidRDefault="004C2B0D">
      <w:pPr>
        <w:numPr>
          <w:ilvl w:val="2"/>
          <w:numId w:val="24"/>
        </w:numPr>
        <w:pBdr>
          <w:top w:val="nil"/>
          <w:left w:val="nil"/>
          <w:bottom w:val="nil"/>
          <w:right w:val="nil"/>
          <w:between w:val="nil"/>
        </w:pBdr>
      </w:pPr>
      <w:r>
        <w:rPr>
          <w:color w:val="000000"/>
        </w:rPr>
        <w:t>the tests that the Supplier proposes to perform to confirm that the vulnerability has been remedied or the finding addressed.</w:t>
      </w:r>
    </w:p>
    <w:p w:rsidR="005F4C24" w:rsidRDefault="004C2B0D">
      <w:pPr>
        <w:numPr>
          <w:ilvl w:val="1"/>
          <w:numId w:val="24"/>
        </w:numPr>
        <w:pBdr>
          <w:top w:val="nil"/>
          <w:left w:val="nil"/>
          <w:bottom w:val="nil"/>
          <w:right w:val="nil"/>
          <w:between w:val="nil"/>
        </w:pBdr>
      </w:pPr>
      <w:bookmarkStart w:id="119" w:name="_heading=h.3u2rp3q" w:colFirst="0" w:colLast="0"/>
      <w:bookmarkEnd w:id="119"/>
      <w:r>
        <w:rPr>
          <w:color w:val="000000"/>
        </w:rPr>
        <w:t>The Supplier shall promptly provide the Authority with such technical and other information relating to the Supplier Information Management System, the IT Health Check report or the draft Remediation Action Plan as the Authority requests.</w:t>
      </w:r>
    </w:p>
    <w:p w:rsidR="005F4C24" w:rsidRDefault="004C2B0D">
      <w:pPr>
        <w:keepNext/>
        <w:numPr>
          <w:ilvl w:val="1"/>
          <w:numId w:val="5"/>
        </w:numPr>
        <w:pBdr>
          <w:top w:val="nil"/>
          <w:left w:val="nil"/>
          <w:bottom w:val="nil"/>
          <w:right w:val="nil"/>
          <w:between w:val="nil"/>
        </w:pBdr>
      </w:pPr>
      <w:bookmarkStart w:id="120" w:name="_heading=h.2981zbj" w:colFirst="0" w:colLast="0"/>
      <w:bookmarkEnd w:id="120"/>
      <w:r>
        <w:rPr>
          <w:color w:val="000000"/>
        </w:rPr>
        <w:t>The Authority may:</w:t>
      </w:r>
    </w:p>
    <w:p w:rsidR="005F4C24" w:rsidRDefault="004C2B0D">
      <w:pPr>
        <w:keepNext/>
        <w:numPr>
          <w:ilvl w:val="2"/>
          <w:numId w:val="24"/>
        </w:numPr>
        <w:pBdr>
          <w:top w:val="nil"/>
          <w:left w:val="nil"/>
          <w:bottom w:val="nil"/>
          <w:right w:val="nil"/>
          <w:between w:val="nil"/>
        </w:pBdr>
      </w:pPr>
      <w:r>
        <w:rPr>
          <w:color w:val="000000"/>
        </w:rPr>
        <w:t>reject the draft Remediation Action Plan where it considers that the draft Remediation Action Plan is inadequate, providing its reasons for doing so, in which case:</w:t>
      </w:r>
    </w:p>
    <w:p w:rsidR="005F4C24" w:rsidRDefault="004C2B0D">
      <w:pPr>
        <w:numPr>
          <w:ilvl w:val="3"/>
          <w:numId w:val="24"/>
        </w:numPr>
        <w:pBdr>
          <w:top w:val="nil"/>
          <w:left w:val="nil"/>
          <w:bottom w:val="nil"/>
          <w:right w:val="nil"/>
          <w:between w:val="nil"/>
        </w:pBdr>
      </w:pPr>
      <w:r>
        <w:rPr>
          <w:color w:val="000000"/>
        </w:rPr>
        <w:t xml:space="preserve">the Supplier shall within ten Working Days of the date on which the Authority rejected the draft Remediation Action Plan submit a revised draft Remediation Action Plan that </w:t>
      </w:r>
      <w:proofErr w:type="gramStart"/>
      <w:r>
        <w:rPr>
          <w:color w:val="000000"/>
        </w:rPr>
        <w:t>takes into account</w:t>
      </w:r>
      <w:proofErr w:type="gramEnd"/>
      <w:r>
        <w:rPr>
          <w:color w:val="000000"/>
        </w:rPr>
        <w:t xml:space="preserve"> the Authority’s reasons; and</w:t>
      </w:r>
    </w:p>
    <w:p w:rsidR="005F4C24" w:rsidRDefault="004C2B0D">
      <w:pPr>
        <w:numPr>
          <w:ilvl w:val="3"/>
          <w:numId w:val="5"/>
        </w:numPr>
        <w:pBdr>
          <w:top w:val="nil"/>
          <w:left w:val="nil"/>
          <w:bottom w:val="nil"/>
          <w:right w:val="nil"/>
          <w:between w:val="nil"/>
        </w:pBdr>
      </w:pPr>
      <w:r>
        <w:rPr>
          <w:color w:val="000000"/>
        </w:rPr>
        <w:t>paragraph 10.22 to 10.24 shall apply, with appropriate modifications, to the revised draft Remediation Action Plan;</w:t>
      </w:r>
    </w:p>
    <w:p w:rsidR="005F4C24" w:rsidRDefault="004C2B0D">
      <w:pPr>
        <w:numPr>
          <w:ilvl w:val="2"/>
          <w:numId w:val="24"/>
        </w:numPr>
        <w:pBdr>
          <w:top w:val="nil"/>
          <w:left w:val="nil"/>
          <w:bottom w:val="nil"/>
          <w:right w:val="nil"/>
          <w:between w:val="nil"/>
        </w:pBdr>
      </w:pPr>
      <w:r>
        <w:rPr>
          <w:color w:val="000000"/>
        </w:rPr>
        <w:t>accept the draft Remediation Action Plan, in which case the Supplier must immediately start work on implementing the Remediation Action Plan in accordance with paragraph 10.26 and 10.27.</w:t>
      </w:r>
    </w:p>
    <w:p w:rsidR="005F4C24" w:rsidRDefault="004C2B0D">
      <w:pPr>
        <w:keepNext/>
        <w:numPr>
          <w:ilvl w:val="1"/>
          <w:numId w:val="24"/>
        </w:numPr>
        <w:pBdr>
          <w:top w:val="nil"/>
          <w:left w:val="nil"/>
          <w:bottom w:val="nil"/>
          <w:right w:val="nil"/>
          <w:between w:val="nil"/>
        </w:pBdr>
      </w:pPr>
      <w:r>
        <w:rPr>
          <w:color w:val="000000"/>
        </w:rPr>
        <w:lastRenderedPageBreak/>
        <w:t>Where the Authority unreasonably:</w:t>
      </w:r>
    </w:p>
    <w:p w:rsidR="005F4C24" w:rsidRDefault="004C2B0D">
      <w:pPr>
        <w:numPr>
          <w:ilvl w:val="2"/>
          <w:numId w:val="24"/>
        </w:numPr>
        <w:pBdr>
          <w:top w:val="nil"/>
          <w:left w:val="nil"/>
          <w:bottom w:val="nil"/>
          <w:right w:val="nil"/>
          <w:between w:val="nil"/>
        </w:pBdr>
      </w:pPr>
      <w:r>
        <w:rPr>
          <w:color w:val="000000"/>
        </w:rPr>
        <w:t>delays its approval; or</w:t>
      </w:r>
    </w:p>
    <w:p w:rsidR="005F4C24" w:rsidRDefault="004C2B0D">
      <w:pPr>
        <w:numPr>
          <w:ilvl w:val="2"/>
          <w:numId w:val="5"/>
        </w:numPr>
        <w:pBdr>
          <w:top w:val="nil"/>
          <w:left w:val="nil"/>
          <w:bottom w:val="nil"/>
          <w:right w:val="nil"/>
          <w:between w:val="nil"/>
        </w:pBdr>
      </w:pPr>
      <w:r>
        <w:rPr>
          <w:color w:val="000000"/>
        </w:rPr>
        <w:t>rejects,</w:t>
      </w:r>
    </w:p>
    <w:p w:rsidR="005F4C24" w:rsidRDefault="004C2B0D">
      <w:pPr>
        <w:pStyle w:val="Heading3"/>
        <w:ind w:left="720" w:firstLine="720"/>
      </w:pPr>
      <w:r>
        <w:t>the draft Remediation Action Plan, the Supplier will not be in breach of this Contract to the extent it demonstrates that any breach:</w:t>
      </w:r>
    </w:p>
    <w:p w:rsidR="005F4C24" w:rsidRDefault="004C2B0D">
      <w:pPr>
        <w:numPr>
          <w:ilvl w:val="2"/>
          <w:numId w:val="24"/>
        </w:numPr>
        <w:pBdr>
          <w:top w:val="nil"/>
          <w:left w:val="nil"/>
          <w:bottom w:val="nil"/>
          <w:right w:val="nil"/>
          <w:between w:val="nil"/>
        </w:pBdr>
      </w:pPr>
      <w:r>
        <w:rPr>
          <w:color w:val="000000"/>
        </w:rPr>
        <w:t>arose directly from the Authority unreasonably withholding or delaying, as appropriate, its approval of the draft Remediation Action Plan; and</w:t>
      </w:r>
    </w:p>
    <w:p w:rsidR="005F4C24" w:rsidRDefault="004C2B0D">
      <w:pPr>
        <w:keepNext/>
        <w:numPr>
          <w:ilvl w:val="2"/>
          <w:numId w:val="5"/>
        </w:numPr>
        <w:pBdr>
          <w:top w:val="nil"/>
          <w:left w:val="nil"/>
          <w:bottom w:val="nil"/>
          <w:right w:val="nil"/>
          <w:between w:val="nil"/>
        </w:pBdr>
      </w:pPr>
      <w:r>
        <w:rPr>
          <w:color w:val="000000"/>
        </w:rPr>
        <w:t>would not have occurred had:</w:t>
      </w:r>
    </w:p>
    <w:p w:rsidR="005F4C24" w:rsidRDefault="004C2B0D">
      <w:pPr>
        <w:numPr>
          <w:ilvl w:val="3"/>
          <w:numId w:val="24"/>
        </w:numPr>
        <w:pBdr>
          <w:top w:val="nil"/>
          <w:left w:val="nil"/>
          <w:bottom w:val="nil"/>
          <w:right w:val="nil"/>
          <w:between w:val="nil"/>
        </w:pBdr>
      </w:pPr>
      <w:r>
        <w:rPr>
          <w:color w:val="000000"/>
        </w:rPr>
        <w:t>the Authority given its approval, or given its approval in a timely manner, to the draft Remediation Action Plan; and</w:t>
      </w:r>
    </w:p>
    <w:p w:rsidR="005F4C24" w:rsidRDefault="004C2B0D">
      <w:pPr>
        <w:numPr>
          <w:ilvl w:val="3"/>
          <w:numId w:val="5"/>
        </w:numPr>
        <w:pBdr>
          <w:top w:val="nil"/>
          <w:left w:val="nil"/>
          <w:bottom w:val="nil"/>
          <w:right w:val="nil"/>
          <w:between w:val="nil"/>
        </w:pBdr>
      </w:pPr>
      <w:r>
        <w:rPr>
          <w:color w:val="000000"/>
        </w:rPr>
        <w:t>the Supplier had implemented the draft Remediation Action Plan in accordance with its terms.</w:t>
      </w:r>
    </w:p>
    <w:p w:rsidR="005F4C24" w:rsidRDefault="004C2B0D">
      <w:pPr>
        <w:keepNext/>
        <w:pBdr>
          <w:top w:val="nil"/>
          <w:left w:val="nil"/>
          <w:bottom w:val="nil"/>
          <w:right w:val="nil"/>
          <w:between w:val="nil"/>
        </w:pBdr>
        <w:ind w:left="720"/>
        <w:rPr>
          <w:b/>
          <w:color w:val="000000"/>
        </w:rPr>
      </w:pPr>
      <w:bookmarkStart w:id="121" w:name="_heading=h.odc9jc" w:colFirst="0" w:colLast="0"/>
      <w:bookmarkEnd w:id="121"/>
      <w:r>
        <w:rPr>
          <w:b/>
          <w:color w:val="000000"/>
        </w:rPr>
        <w:t>Implementing an approved Remediation Action Plan</w:t>
      </w:r>
    </w:p>
    <w:p w:rsidR="005F4C24" w:rsidRDefault="004C2B0D">
      <w:pPr>
        <w:numPr>
          <w:ilvl w:val="1"/>
          <w:numId w:val="24"/>
        </w:numPr>
        <w:pBdr>
          <w:top w:val="nil"/>
          <w:left w:val="nil"/>
          <w:bottom w:val="nil"/>
          <w:right w:val="nil"/>
          <w:between w:val="nil"/>
        </w:pBdr>
      </w:pPr>
      <w:bookmarkStart w:id="122" w:name="_heading=h.38czs75" w:colFirst="0" w:colLast="0"/>
      <w:bookmarkEnd w:id="122"/>
      <w:r>
        <w:rPr>
          <w:color w:val="000000"/>
        </w:rPr>
        <w:t>In implementing the Remediation Action Plan, the Supplier must conduct such further tests on the Supplier Information Management System as are required by the Remediation Action Plan to confirm that the Remediation Action Plan has fully and correctly implemented.</w:t>
      </w:r>
    </w:p>
    <w:p w:rsidR="005F4C24" w:rsidRDefault="004C2B0D">
      <w:pPr>
        <w:keepNext/>
        <w:numPr>
          <w:ilvl w:val="1"/>
          <w:numId w:val="5"/>
        </w:numPr>
        <w:pBdr>
          <w:top w:val="nil"/>
          <w:left w:val="nil"/>
          <w:bottom w:val="nil"/>
          <w:right w:val="nil"/>
          <w:between w:val="nil"/>
        </w:pBdr>
      </w:pPr>
      <w:bookmarkStart w:id="123" w:name="_heading=h.1nia2ey" w:colFirst="0" w:colLast="0"/>
      <w:bookmarkEnd w:id="123"/>
      <w:r>
        <w:rPr>
          <w:color w:val="000000"/>
        </w:rPr>
        <w:t>If any such testing identifies a new risk, new threat, vulnerability or exploitation technique with the potential to affect the security of the Supplier Information Management System, the Supplier shall within two Working Days of becoming aware of such risk, threat, vulnerability or exploitation technique:</w:t>
      </w:r>
    </w:p>
    <w:p w:rsidR="005F4C24" w:rsidRDefault="004C2B0D">
      <w:pPr>
        <w:numPr>
          <w:ilvl w:val="2"/>
          <w:numId w:val="24"/>
        </w:numPr>
        <w:pBdr>
          <w:top w:val="nil"/>
          <w:left w:val="nil"/>
          <w:bottom w:val="nil"/>
          <w:right w:val="nil"/>
          <w:between w:val="nil"/>
        </w:pBdr>
      </w:pPr>
      <w:r>
        <w:rPr>
          <w:color w:val="000000"/>
        </w:rPr>
        <w:t>provide the Authority with a full, unedited and unredacted copy of the test report;</w:t>
      </w:r>
    </w:p>
    <w:p w:rsidR="005F4C24" w:rsidRDefault="004C2B0D">
      <w:pPr>
        <w:numPr>
          <w:ilvl w:val="2"/>
          <w:numId w:val="5"/>
        </w:numPr>
        <w:pBdr>
          <w:top w:val="nil"/>
          <w:left w:val="nil"/>
          <w:bottom w:val="nil"/>
          <w:right w:val="nil"/>
          <w:between w:val="nil"/>
        </w:pBdr>
      </w:pPr>
      <w:r>
        <w:rPr>
          <w:color w:val="000000"/>
        </w:rPr>
        <w:t>implement interim mitigation measures to vulnerabilities in the Information System known to be exploitable where a security patch is not immediately available;</w:t>
      </w:r>
    </w:p>
    <w:p w:rsidR="005F4C24" w:rsidRDefault="004C2B0D">
      <w:pPr>
        <w:numPr>
          <w:ilvl w:val="2"/>
          <w:numId w:val="24"/>
        </w:numPr>
        <w:pBdr>
          <w:top w:val="nil"/>
          <w:left w:val="nil"/>
          <w:bottom w:val="nil"/>
          <w:right w:val="nil"/>
          <w:between w:val="nil"/>
        </w:pBdr>
      </w:pPr>
      <w:r>
        <w:rPr>
          <w:color w:val="000000"/>
        </w:rPr>
        <w:t>as far as practicable, remove or disable any extraneous interfaces, services or capabilities not needed for the provision of the Services within the timescales set out in the test report or such other timescales as may be agreed with the Authority.</w:t>
      </w:r>
    </w:p>
    <w:p w:rsidR="005F4C24" w:rsidRDefault="004C2B0D">
      <w:pPr>
        <w:keepNext/>
        <w:pBdr>
          <w:top w:val="nil"/>
          <w:left w:val="nil"/>
          <w:bottom w:val="nil"/>
          <w:right w:val="nil"/>
          <w:between w:val="nil"/>
        </w:pBdr>
        <w:ind w:left="720"/>
        <w:rPr>
          <w:b/>
          <w:color w:val="000000"/>
        </w:rPr>
      </w:pPr>
      <w:bookmarkStart w:id="124" w:name="_heading=h.47hxl2r" w:colFirst="0" w:colLast="0"/>
      <w:bookmarkEnd w:id="124"/>
      <w:r>
        <w:rPr>
          <w:b/>
          <w:color w:val="000000"/>
        </w:rPr>
        <w:t>Significant vulnerabilities</w:t>
      </w:r>
    </w:p>
    <w:p w:rsidR="005F4C24" w:rsidRDefault="004C2B0D">
      <w:pPr>
        <w:keepNext/>
        <w:numPr>
          <w:ilvl w:val="1"/>
          <w:numId w:val="24"/>
        </w:numPr>
        <w:pBdr>
          <w:top w:val="nil"/>
          <w:left w:val="nil"/>
          <w:bottom w:val="nil"/>
          <w:right w:val="nil"/>
          <w:between w:val="nil"/>
        </w:pBdr>
      </w:pPr>
      <w:bookmarkStart w:id="125" w:name="_heading=h.2mn7vak" w:colFirst="0" w:colLast="0"/>
      <w:bookmarkEnd w:id="125"/>
      <w:r>
        <w:rPr>
          <w:color w:val="000000"/>
        </w:rPr>
        <w:t>Where:</w:t>
      </w:r>
    </w:p>
    <w:p w:rsidR="005F4C24" w:rsidRDefault="004C2B0D">
      <w:pPr>
        <w:numPr>
          <w:ilvl w:val="2"/>
          <w:numId w:val="24"/>
        </w:numPr>
        <w:pBdr>
          <w:top w:val="nil"/>
          <w:left w:val="nil"/>
          <w:bottom w:val="nil"/>
          <w:right w:val="nil"/>
          <w:between w:val="nil"/>
        </w:pBdr>
      </w:pPr>
      <w:r>
        <w:rPr>
          <w:color w:val="000000"/>
        </w:rPr>
        <w:t>a Security Test report identifies more than 10 vulnerabilities classified as either critical or high; or</w:t>
      </w:r>
    </w:p>
    <w:p w:rsidR="005F4C24" w:rsidRDefault="004C2B0D">
      <w:pPr>
        <w:numPr>
          <w:ilvl w:val="2"/>
          <w:numId w:val="5"/>
        </w:numPr>
        <w:pBdr>
          <w:top w:val="nil"/>
          <w:left w:val="nil"/>
          <w:bottom w:val="nil"/>
          <w:right w:val="nil"/>
          <w:between w:val="nil"/>
        </w:pBdr>
      </w:pPr>
      <w:r>
        <w:rPr>
          <w:color w:val="000000"/>
        </w:rPr>
        <w:t>the Authority rejected a revised draft Remediation Action Plan,</w:t>
      </w:r>
    </w:p>
    <w:p w:rsidR="005F4C24" w:rsidRDefault="004C2B0D">
      <w:pPr>
        <w:pStyle w:val="Heading3"/>
        <w:keepNext/>
        <w:ind w:left="720" w:firstLine="720"/>
      </w:pPr>
      <w:r>
        <w:t>the Authority may, at the Supplier’s cost, either:</w:t>
      </w:r>
    </w:p>
    <w:p w:rsidR="005F4C24" w:rsidRDefault="004C2B0D">
      <w:pPr>
        <w:numPr>
          <w:ilvl w:val="2"/>
          <w:numId w:val="24"/>
        </w:numPr>
        <w:pBdr>
          <w:top w:val="nil"/>
          <w:left w:val="nil"/>
          <w:bottom w:val="nil"/>
          <w:right w:val="nil"/>
          <w:between w:val="nil"/>
        </w:pBdr>
      </w:pPr>
      <w:r>
        <w:rPr>
          <w:color w:val="000000"/>
        </w:rPr>
        <w:t>appoint an independent and appropriately qualified and experienced security architect and adviser to perform a root cause analysis of the identified vulnerabilities; or</w:t>
      </w:r>
    </w:p>
    <w:p w:rsidR="005F4C24" w:rsidRDefault="004C2B0D">
      <w:pPr>
        <w:numPr>
          <w:ilvl w:val="2"/>
          <w:numId w:val="5"/>
        </w:numPr>
        <w:pBdr>
          <w:top w:val="nil"/>
          <w:left w:val="nil"/>
          <w:bottom w:val="nil"/>
          <w:right w:val="nil"/>
          <w:between w:val="nil"/>
        </w:pBdr>
      </w:pPr>
      <w:r>
        <w:rPr>
          <w:color w:val="000000"/>
        </w:rPr>
        <w:t>give notice to the Supplier requiring the appointment as soon as reasonably practicable, and in any event within ten Working Days, of an Independent Security Adviser.</w:t>
      </w:r>
    </w:p>
    <w:p w:rsidR="005F4C24" w:rsidRDefault="004C2B0D">
      <w:pPr>
        <w:keepNext/>
        <w:numPr>
          <w:ilvl w:val="0"/>
          <w:numId w:val="5"/>
        </w:numPr>
        <w:pBdr>
          <w:top w:val="nil"/>
          <w:left w:val="nil"/>
          <w:bottom w:val="nil"/>
          <w:right w:val="nil"/>
          <w:between w:val="nil"/>
        </w:pBdr>
        <w:spacing w:before="360"/>
      </w:pPr>
      <w:r>
        <w:rPr>
          <w:b/>
          <w:color w:val="000000"/>
          <w:sz w:val="24"/>
          <w:szCs w:val="24"/>
        </w:rPr>
        <w:lastRenderedPageBreak/>
        <w:t>Access Control</w:t>
      </w:r>
    </w:p>
    <w:p w:rsidR="005F4C24" w:rsidRDefault="004C2B0D">
      <w:pPr>
        <w:keepNext/>
        <w:numPr>
          <w:ilvl w:val="1"/>
          <w:numId w:val="24"/>
        </w:numPr>
        <w:pBdr>
          <w:top w:val="nil"/>
          <w:left w:val="nil"/>
          <w:bottom w:val="nil"/>
          <w:right w:val="nil"/>
          <w:between w:val="nil"/>
        </w:pBdr>
      </w:pPr>
      <w:bookmarkStart w:id="126" w:name="_heading=h.11si5id" w:colFirst="0" w:colLast="0"/>
      <w:bookmarkEnd w:id="126"/>
      <w:r>
        <w:rPr>
          <w:color w:val="000000"/>
        </w:rPr>
        <w:t xml:space="preserve">The Supplier must, and must ensure that all Sub-contractors: </w:t>
      </w:r>
    </w:p>
    <w:p w:rsidR="005F4C24" w:rsidRDefault="004C2B0D">
      <w:pPr>
        <w:numPr>
          <w:ilvl w:val="2"/>
          <w:numId w:val="24"/>
        </w:numPr>
        <w:pBdr>
          <w:top w:val="nil"/>
          <w:left w:val="nil"/>
          <w:bottom w:val="nil"/>
          <w:right w:val="nil"/>
          <w:between w:val="nil"/>
        </w:pBdr>
      </w:pPr>
      <w:r>
        <w:rPr>
          <w:color w:val="000000"/>
        </w:rPr>
        <w:t>identify and authenticate all persons who access the Supplier Information Management System and Sites before they do so;</w:t>
      </w:r>
    </w:p>
    <w:p w:rsidR="005F4C24" w:rsidRDefault="004C2B0D">
      <w:pPr>
        <w:numPr>
          <w:ilvl w:val="2"/>
          <w:numId w:val="5"/>
        </w:numPr>
        <w:pBdr>
          <w:top w:val="nil"/>
          <w:left w:val="nil"/>
          <w:bottom w:val="nil"/>
          <w:right w:val="nil"/>
          <w:between w:val="nil"/>
        </w:pBdr>
      </w:pPr>
      <w:r>
        <w:rPr>
          <w:color w:val="000000"/>
        </w:rPr>
        <w:t>require multi-factor authentication for all user accounts that have access to Authority Data or that are Privileged Users;</w:t>
      </w:r>
    </w:p>
    <w:p w:rsidR="005F4C24" w:rsidRDefault="004C2B0D">
      <w:pPr>
        <w:numPr>
          <w:ilvl w:val="2"/>
          <w:numId w:val="24"/>
        </w:numPr>
        <w:pBdr>
          <w:top w:val="nil"/>
          <w:left w:val="nil"/>
          <w:bottom w:val="nil"/>
          <w:right w:val="nil"/>
          <w:between w:val="nil"/>
        </w:pBdr>
      </w:pPr>
      <w:r>
        <w:rPr>
          <w:color w:val="000000"/>
        </w:rPr>
        <w:t>allow access only to those parts of the Supplier Information Management System and Sites that those persons require;</w:t>
      </w:r>
    </w:p>
    <w:p w:rsidR="005F4C24" w:rsidRDefault="004C2B0D">
      <w:pPr>
        <w:numPr>
          <w:ilvl w:val="2"/>
          <w:numId w:val="5"/>
        </w:numPr>
        <w:pBdr>
          <w:top w:val="nil"/>
          <w:left w:val="nil"/>
          <w:bottom w:val="nil"/>
          <w:right w:val="nil"/>
          <w:between w:val="nil"/>
        </w:pBdr>
      </w:pPr>
      <w:r>
        <w:rPr>
          <w:color w:val="000000"/>
        </w:rPr>
        <w:t>maintain records detailing each person’s access to the Supplier Information Management System and Sites, and make those records available to the Authority on request.</w:t>
      </w:r>
    </w:p>
    <w:p w:rsidR="005F4C24" w:rsidRDefault="004C2B0D">
      <w:pPr>
        <w:keepNext/>
        <w:numPr>
          <w:ilvl w:val="1"/>
          <w:numId w:val="24"/>
        </w:numPr>
        <w:pBdr>
          <w:top w:val="nil"/>
          <w:left w:val="nil"/>
          <w:bottom w:val="nil"/>
          <w:right w:val="nil"/>
          <w:between w:val="nil"/>
        </w:pBdr>
      </w:pPr>
      <w:r>
        <w:rPr>
          <w:color w:val="000000"/>
        </w:rPr>
        <w:t>The Supplier must ensure, and must ensure that all Sub-contractors ensure, that the user accounts for Privileged Users of the Supplier Information Management System:</w:t>
      </w:r>
    </w:p>
    <w:p w:rsidR="005F4C24" w:rsidRDefault="004C2B0D">
      <w:pPr>
        <w:numPr>
          <w:ilvl w:val="2"/>
          <w:numId w:val="24"/>
        </w:numPr>
        <w:pBdr>
          <w:top w:val="nil"/>
          <w:left w:val="nil"/>
          <w:bottom w:val="nil"/>
          <w:right w:val="nil"/>
          <w:between w:val="nil"/>
        </w:pBdr>
      </w:pPr>
      <w:r>
        <w:rPr>
          <w:color w:val="000000"/>
        </w:rPr>
        <w:t>are allocated to a single, individual user;</w:t>
      </w:r>
    </w:p>
    <w:p w:rsidR="005F4C24" w:rsidRDefault="004C2B0D">
      <w:pPr>
        <w:numPr>
          <w:ilvl w:val="2"/>
          <w:numId w:val="5"/>
        </w:numPr>
        <w:pBdr>
          <w:top w:val="nil"/>
          <w:left w:val="nil"/>
          <w:bottom w:val="nil"/>
          <w:right w:val="nil"/>
          <w:between w:val="nil"/>
        </w:pBdr>
      </w:pPr>
      <w:r>
        <w:rPr>
          <w:color w:val="000000"/>
        </w:rPr>
        <w:t>are accessible only from dedicated End-user Devices;</w:t>
      </w:r>
    </w:p>
    <w:p w:rsidR="005F4C24" w:rsidRDefault="004C2B0D">
      <w:pPr>
        <w:numPr>
          <w:ilvl w:val="2"/>
          <w:numId w:val="24"/>
        </w:numPr>
        <w:pBdr>
          <w:top w:val="nil"/>
          <w:left w:val="nil"/>
          <w:bottom w:val="nil"/>
          <w:right w:val="nil"/>
          <w:between w:val="nil"/>
        </w:pBdr>
      </w:pPr>
      <w:r>
        <w:rPr>
          <w:color w:val="000000"/>
        </w:rPr>
        <w:t>are configured so that those accounts can only be used for system administration tasks;</w:t>
      </w:r>
    </w:p>
    <w:p w:rsidR="005F4C24" w:rsidRDefault="004C2B0D">
      <w:pPr>
        <w:numPr>
          <w:ilvl w:val="2"/>
          <w:numId w:val="5"/>
        </w:numPr>
        <w:pBdr>
          <w:top w:val="nil"/>
          <w:left w:val="nil"/>
          <w:bottom w:val="nil"/>
          <w:right w:val="nil"/>
          <w:between w:val="nil"/>
        </w:pBdr>
      </w:pPr>
      <w:r>
        <w:rPr>
          <w:color w:val="000000"/>
        </w:rPr>
        <w:t>require passwords with high complexity that are changed regularly;</w:t>
      </w:r>
    </w:p>
    <w:p w:rsidR="005F4C24" w:rsidRDefault="004C2B0D">
      <w:pPr>
        <w:numPr>
          <w:ilvl w:val="2"/>
          <w:numId w:val="24"/>
        </w:numPr>
        <w:pBdr>
          <w:top w:val="nil"/>
          <w:left w:val="nil"/>
          <w:bottom w:val="nil"/>
          <w:right w:val="nil"/>
          <w:between w:val="nil"/>
        </w:pBdr>
      </w:pPr>
      <w:r>
        <w:rPr>
          <w:color w:val="000000"/>
        </w:rPr>
        <w:t>automatically log the user out of the Supplier Information Management System after a period of time that is proportionate to the risk environment during which the account is inactive; and</w:t>
      </w:r>
    </w:p>
    <w:p w:rsidR="005F4C24" w:rsidRDefault="004C2B0D">
      <w:pPr>
        <w:keepNext/>
        <w:numPr>
          <w:ilvl w:val="2"/>
          <w:numId w:val="5"/>
        </w:numPr>
        <w:pBdr>
          <w:top w:val="nil"/>
          <w:left w:val="nil"/>
          <w:bottom w:val="nil"/>
          <w:right w:val="nil"/>
          <w:between w:val="nil"/>
        </w:pBdr>
      </w:pPr>
      <w:r>
        <w:rPr>
          <w:color w:val="000000"/>
        </w:rPr>
        <w:t>are:</w:t>
      </w:r>
    </w:p>
    <w:p w:rsidR="005F4C24" w:rsidRDefault="004C2B0D">
      <w:pPr>
        <w:numPr>
          <w:ilvl w:val="3"/>
          <w:numId w:val="24"/>
        </w:numPr>
        <w:pBdr>
          <w:top w:val="nil"/>
          <w:left w:val="nil"/>
          <w:bottom w:val="nil"/>
          <w:right w:val="nil"/>
          <w:between w:val="nil"/>
        </w:pBdr>
      </w:pPr>
      <w:r>
        <w:rPr>
          <w:color w:val="000000"/>
        </w:rPr>
        <w:t>restricted to a single role or small number of roles;</w:t>
      </w:r>
    </w:p>
    <w:p w:rsidR="005F4C24" w:rsidRDefault="004C2B0D">
      <w:pPr>
        <w:numPr>
          <w:ilvl w:val="3"/>
          <w:numId w:val="5"/>
        </w:numPr>
        <w:pBdr>
          <w:top w:val="nil"/>
          <w:left w:val="nil"/>
          <w:bottom w:val="nil"/>
          <w:right w:val="nil"/>
          <w:between w:val="nil"/>
        </w:pBdr>
      </w:pPr>
      <w:r>
        <w:rPr>
          <w:color w:val="000000"/>
        </w:rPr>
        <w:t>time limited; and</w:t>
      </w:r>
    </w:p>
    <w:p w:rsidR="005F4C24" w:rsidRDefault="004C2B0D">
      <w:pPr>
        <w:numPr>
          <w:ilvl w:val="3"/>
          <w:numId w:val="24"/>
        </w:numPr>
        <w:pBdr>
          <w:top w:val="nil"/>
          <w:left w:val="nil"/>
          <w:bottom w:val="nil"/>
          <w:right w:val="nil"/>
          <w:between w:val="nil"/>
        </w:pBdr>
      </w:pPr>
      <w:r>
        <w:rPr>
          <w:color w:val="000000"/>
        </w:rPr>
        <w:t>restrict the Privileged User’s access to the internet.</w:t>
      </w:r>
    </w:p>
    <w:p w:rsidR="005F4C24" w:rsidRDefault="004C2B0D">
      <w:pPr>
        <w:numPr>
          <w:ilvl w:val="1"/>
          <w:numId w:val="24"/>
        </w:numPr>
        <w:pBdr>
          <w:top w:val="nil"/>
          <w:left w:val="nil"/>
          <w:bottom w:val="nil"/>
          <w:right w:val="nil"/>
          <w:between w:val="nil"/>
        </w:pBdr>
      </w:pPr>
      <w:r>
        <w:rPr>
          <w:color w:val="000000"/>
        </w:rPr>
        <w:t xml:space="preserve">The Supplier must ensure, and must ensure that all Sub-contractors ensure, that it logs all activity of the Privileged Users while those users access those accounts and keeps the activity logs for </w:t>
      </w:r>
      <w:r>
        <w:t xml:space="preserve">12 months </w:t>
      </w:r>
      <w:r>
        <w:rPr>
          <w:color w:val="000000"/>
        </w:rPr>
        <w:t>before deletion.</w:t>
      </w:r>
    </w:p>
    <w:p w:rsidR="005F4C24" w:rsidRDefault="004C2B0D">
      <w:pPr>
        <w:numPr>
          <w:ilvl w:val="1"/>
          <w:numId w:val="5"/>
        </w:numPr>
        <w:pBdr>
          <w:top w:val="nil"/>
          <w:left w:val="nil"/>
          <w:bottom w:val="nil"/>
          <w:right w:val="nil"/>
          <w:between w:val="nil"/>
        </w:pBdr>
      </w:pPr>
      <w:bookmarkStart w:id="127" w:name="_heading=h.3ls5o66" w:colFirst="0" w:colLast="0"/>
      <w:bookmarkEnd w:id="127"/>
      <w:r>
        <w:rPr>
          <w:color w:val="000000"/>
        </w:rPr>
        <w:t>The Supplier must require, and must ensure that all Sub-contractors require, that Privileged Users use unique and substantially different high-complexity passwords for their different accounts on the Supplier Information Management System.</w:t>
      </w:r>
    </w:p>
    <w:p w:rsidR="005F4C24" w:rsidRDefault="004C2B0D">
      <w:pPr>
        <w:keepNext/>
        <w:numPr>
          <w:ilvl w:val="1"/>
          <w:numId w:val="24"/>
        </w:numPr>
        <w:pBdr>
          <w:top w:val="nil"/>
          <w:left w:val="nil"/>
          <w:bottom w:val="nil"/>
          <w:right w:val="nil"/>
          <w:between w:val="nil"/>
        </w:pBdr>
      </w:pPr>
      <w:r>
        <w:rPr>
          <w:color w:val="000000"/>
        </w:rPr>
        <w:t>The Supplier must, and must ensure that all Sub-contractors:</w:t>
      </w:r>
    </w:p>
    <w:p w:rsidR="005F4C24" w:rsidRDefault="004C2B0D">
      <w:pPr>
        <w:numPr>
          <w:ilvl w:val="2"/>
          <w:numId w:val="24"/>
        </w:numPr>
        <w:pBdr>
          <w:top w:val="nil"/>
          <w:left w:val="nil"/>
          <w:bottom w:val="nil"/>
          <w:right w:val="nil"/>
          <w:between w:val="nil"/>
        </w:pBdr>
      </w:pPr>
      <w:r>
        <w:rPr>
          <w:color w:val="000000"/>
        </w:rPr>
        <w:t>configure any hardware that forms part of the Supplier Information Management System that is capable of requiring a password before it is accessed to require a password; and</w:t>
      </w:r>
    </w:p>
    <w:p w:rsidR="005F4C24" w:rsidRDefault="004C2B0D">
      <w:pPr>
        <w:numPr>
          <w:ilvl w:val="2"/>
          <w:numId w:val="5"/>
        </w:numPr>
        <w:pBdr>
          <w:top w:val="nil"/>
          <w:left w:val="nil"/>
          <w:bottom w:val="nil"/>
          <w:right w:val="nil"/>
          <w:between w:val="nil"/>
        </w:pBdr>
      </w:pPr>
      <w:r>
        <w:rPr>
          <w:color w:val="000000"/>
        </w:rPr>
        <w:t>change the default password of that hardware to a password of high complexity that is substantially different from the password required to access similar hardware.</w:t>
      </w:r>
    </w:p>
    <w:p w:rsidR="005F4C24" w:rsidRDefault="004C2B0D">
      <w:pPr>
        <w:keepNext/>
        <w:numPr>
          <w:ilvl w:val="0"/>
          <w:numId w:val="5"/>
        </w:numPr>
        <w:pBdr>
          <w:top w:val="nil"/>
          <w:left w:val="nil"/>
          <w:bottom w:val="nil"/>
          <w:right w:val="nil"/>
          <w:between w:val="nil"/>
        </w:pBdr>
        <w:spacing w:before="360"/>
      </w:pPr>
      <w:bookmarkStart w:id="128" w:name="_heading=h.20xfydz" w:colFirst="0" w:colLast="0"/>
      <w:bookmarkEnd w:id="128"/>
      <w:r>
        <w:rPr>
          <w:b/>
          <w:color w:val="000000"/>
          <w:sz w:val="24"/>
          <w:szCs w:val="24"/>
        </w:rPr>
        <w:lastRenderedPageBreak/>
        <w:t>Event logging and protective monitoring</w:t>
      </w:r>
    </w:p>
    <w:p w:rsidR="005F4C24" w:rsidRDefault="004C2B0D">
      <w:pPr>
        <w:keepNext/>
        <w:pBdr>
          <w:top w:val="nil"/>
          <w:left w:val="nil"/>
          <w:bottom w:val="nil"/>
          <w:right w:val="nil"/>
          <w:between w:val="nil"/>
        </w:pBdr>
        <w:ind w:left="720"/>
        <w:rPr>
          <w:b/>
          <w:color w:val="000000"/>
        </w:rPr>
      </w:pPr>
      <w:r>
        <w:rPr>
          <w:b/>
          <w:color w:val="000000"/>
        </w:rPr>
        <w:t>Protective Monitoring System</w:t>
      </w:r>
    </w:p>
    <w:p w:rsidR="005F4C24" w:rsidRDefault="004C2B0D">
      <w:pPr>
        <w:keepNext/>
        <w:numPr>
          <w:ilvl w:val="1"/>
          <w:numId w:val="24"/>
        </w:numPr>
        <w:pBdr>
          <w:top w:val="nil"/>
          <w:left w:val="nil"/>
          <w:bottom w:val="nil"/>
          <w:right w:val="nil"/>
          <w:between w:val="nil"/>
        </w:pBdr>
      </w:pPr>
      <w:bookmarkStart w:id="129" w:name="_heading=h.4kx3h1s" w:colFirst="0" w:colLast="0"/>
      <w:bookmarkEnd w:id="129"/>
      <w:r>
        <w:rPr>
          <w:color w:val="000000"/>
        </w:rPr>
        <w:t>The Supplier must, and must ensure that Sub-contractors, implement an effective system of monitoring and reports, analysing access to and use of the Supplier Information Management System, the Development Environment, the Authority Data and the Code to:</w:t>
      </w:r>
    </w:p>
    <w:p w:rsidR="005F4C24" w:rsidRDefault="004C2B0D">
      <w:pPr>
        <w:numPr>
          <w:ilvl w:val="2"/>
          <w:numId w:val="24"/>
        </w:numPr>
        <w:pBdr>
          <w:top w:val="nil"/>
          <w:left w:val="nil"/>
          <w:bottom w:val="nil"/>
          <w:right w:val="nil"/>
          <w:between w:val="nil"/>
        </w:pBdr>
      </w:pPr>
      <w:r>
        <w:rPr>
          <w:color w:val="000000"/>
        </w:rPr>
        <w:t>identify and prevent potential Breaches of Security;</w:t>
      </w:r>
    </w:p>
    <w:p w:rsidR="005F4C24" w:rsidRDefault="004C2B0D">
      <w:pPr>
        <w:numPr>
          <w:ilvl w:val="2"/>
          <w:numId w:val="5"/>
        </w:numPr>
        <w:pBdr>
          <w:top w:val="nil"/>
          <w:left w:val="nil"/>
          <w:bottom w:val="nil"/>
          <w:right w:val="nil"/>
          <w:between w:val="nil"/>
        </w:pBdr>
      </w:pPr>
      <w:r>
        <w:rPr>
          <w:color w:val="000000"/>
        </w:rPr>
        <w:t>respond effectively and in a timely manner to Breaches of Security that do occur;</w:t>
      </w:r>
    </w:p>
    <w:p w:rsidR="005F4C24" w:rsidRDefault="004C2B0D">
      <w:pPr>
        <w:numPr>
          <w:ilvl w:val="2"/>
          <w:numId w:val="24"/>
        </w:numPr>
        <w:pBdr>
          <w:top w:val="nil"/>
          <w:left w:val="nil"/>
          <w:bottom w:val="nil"/>
          <w:right w:val="nil"/>
          <w:between w:val="nil"/>
        </w:pBdr>
      </w:pPr>
      <w:r>
        <w:rPr>
          <w:color w:val="000000"/>
        </w:rPr>
        <w:t>identify and implement changes to the Supplier Information Management System to prevent future Breaches of Security; and</w:t>
      </w:r>
    </w:p>
    <w:p w:rsidR="005F4C24" w:rsidRDefault="004C2B0D">
      <w:pPr>
        <w:numPr>
          <w:ilvl w:val="2"/>
          <w:numId w:val="5"/>
        </w:numPr>
        <w:pBdr>
          <w:top w:val="nil"/>
          <w:left w:val="nil"/>
          <w:bottom w:val="nil"/>
          <w:right w:val="nil"/>
          <w:between w:val="nil"/>
        </w:pBdr>
      </w:pPr>
      <w:r>
        <w:rPr>
          <w:color w:val="000000"/>
        </w:rPr>
        <w:t>help detect and prevent any potential criminal offence relating to fraud, bribery or corruption using the Supplier Information Management System or the Developed System</w:t>
      </w:r>
    </w:p>
    <w:p w:rsidR="005F4C24" w:rsidRDefault="004C2B0D">
      <w:pPr>
        <w:pStyle w:val="Heading3"/>
        <w:ind w:left="720" w:firstLine="720"/>
      </w:pPr>
      <w:r>
        <w:t>(</w:t>
      </w:r>
      <w:r>
        <w:rPr>
          <w:b/>
        </w:rPr>
        <w:t>Protective Monitoring System</w:t>
      </w:r>
      <w:r>
        <w:t>).</w:t>
      </w:r>
    </w:p>
    <w:p w:rsidR="005F4C24" w:rsidRDefault="004C2B0D">
      <w:pPr>
        <w:keepNext/>
        <w:numPr>
          <w:ilvl w:val="1"/>
          <w:numId w:val="24"/>
        </w:numPr>
        <w:pBdr>
          <w:top w:val="nil"/>
          <w:left w:val="nil"/>
          <w:bottom w:val="nil"/>
          <w:right w:val="nil"/>
          <w:between w:val="nil"/>
        </w:pBdr>
      </w:pPr>
      <w:r>
        <w:rPr>
          <w:color w:val="000000"/>
        </w:rPr>
        <w:t>The Protective Monitoring System must provide for:</w:t>
      </w:r>
    </w:p>
    <w:p w:rsidR="005F4C24" w:rsidRDefault="004C2B0D">
      <w:pPr>
        <w:numPr>
          <w:ilvl w:val="2"/>
          <w:numId w:val="24"/>
        </w:numPr>
        <w:pBdr>
          <w:top w:val="nil"/>
          <w:left w:val="nil"/>
          <w:bottom w:val="nil"/>
          <w:right w:val="nil"/>
          <w:between w:val="nil"/>
        </w:pBdr>
      </w:pPr>
      <w:r>
        <w:rPr>
          <w:color w:val="000000"/>
        </w:rPr>
        <w:t>event logs and audit records of access to the Supplier Information Management system; and</w:t>
      </w:r>
    </w:p>
    <w:p w:rsidR="005F4C24" w:rsidRDefault="004C2B0D">
      <w:pPr>
        <w:keepNext/>
        <w:numPr>
          <w:ilvl w:val="2"/>
          <w:numId w:val="5"/>
        </w:numPr>
        <w:pBdr>
          <w:top w:val="nil"/>
          <w:left w:val="nil"/>
          <w:bottom w:val="nil"/>
          <w:right w:val="nil"/>
          <w:between w:val="nil"/>
        </w:pBdr>
      </w:pPr>
      <w:r>
        <w:rPr>
          <w:color w:val="000000"/>
        </w:rPr>
        <w:t>regular reports and alerts to identify:</w:t>
      </w:r>
    </w:p>
    <w:p w:rsidR="005F4C24" w:rsidRDefault="004C2B0D">
      <w:pPr>
        <w:numPr>
          <w:ilvl w:val="3"/>
          <w:numId w:val="24"/>
        </w:numPr>
        <w:pBdr>
          <w:top w:val="nil"/>
          <w:left w:val="nil"/>
          <w:bottom w:val="nil"/>
          <w:right w:val="nil"/>
          <w:between w:val="nil"/>
        </w:pBdr>
      </w:pPr>
      <w:r>
        <w:rPr>
          <w:color w:val="000000"/>
        </w:rPr>
        <w:t>changing access trends;</w:t>
      </w:r>
    </w:p>
    <w:p w:rsidR="005F4C24" w:rsidRDefault="004C2B0D">
      <w:pPr>
        <w:numPr>
          <w:ilvl w:val="3"/>
          <w:numId w:val="5"/>
        </w:numPr>
        <w:pBdr>
          <w:top w:val="nil"/>
          <w:left w:val="nil"/>
          <w:bottom w:val="nil"/>
          <w:right w:val="nil"/>
          <w:between w:val="nil"/>
        </w:pBdr>
      </w:pPr>
      <w:r>
        <w:rPr>
          <w:color w:val="000000"/>
        </w:rPr>
        <w:t>unusual usage patterns; or</w:t>
      </w:r>
    </w:p>
    <w:p w:rsidR="005F4C24" w:rsidRDefault="004C2B0D">
      <w:pPr>
        <w:numPr>
          <w:ilvl w:val="3"/>
          <w:numId w:val="24"/>
        </w:numPr>
        <w:pBdr>
          <w:top w:val="nil"/>
          <w:left w:val="nil"/>
          <w:bottom w:val="nil"/>
          <w:right w:val="nil"/>
          <w:between w:val="nil"/>
        </w:pBdr>
      </w:pPr>
      <w:r>
        <w:rPr>
          <w:color w:val="000000"/>
        </w:rPr>
        <w:t>the access of greater than usual volumes of Authority Data;</w:t>
      </w:r>
    </w:p>
    <w:p w:rsidR="005F4C24" w:rsidRDefault="004C2B0D">
      <w:pPr>
        <w:numPr>
          <w:ilvl w:val="2"/>
          <w:numId w:val="24"/>
        </w:numPr>
        <w:pBdr>
          <w:top w:val="nil"/>
          <w:left w:val="nil"/>
          <w:bottom w:val="nil"/>
          <w:right w:val="nil"/>
          <w:between w:val="nil"/>
        </w:pBdr>
      </w:pPr>
      <w:r>
        <w:rPr>
          <w:color w:val="000000"/>
        </w:rPr>
        <w:t>the detection and prevention of any attack on the Supplier Information Management System or the Development Environment using common cyber-attack techniques;</w:t>
      </w:r>
    </w:p>
    <w:p w:rsidR="005F4C24" w:rsidRDefault="004C2B0D">
      <w:pPr>
        <w:numPr>
          <w:ilvl w:val="2"/>
          <w:numId w:val="5"/>
        </w:numPr>
        <w:pBdr>
          <w:top w:val="nil"/>
          <w:left w:val="nil"/>
          <w:bottom w:val="nil"/>
          <w:right w:val="nil"/>
          <w:between w:val="nil"/>
        </w:pBdr>
      </w:pPr>
      <w:r>
        <w:rPr>
          <w:color w:val="000000"/>
        </w:rPr>
        <w:t>any other matters required by the Security Management Plan.</w:t>
      </w:r>
    </w:p>
    <w:p w:rsidR="005F4C24" w:rsidRDefault="004C2B0D">
      <w:pPr>
        <w:numPr>
          <w:ilvl w:val="2"/>
          <w:numId w:val="5"/>
        </w:numPr>
        <w:pBdr>
          <w:top w:val="nil"/>
          <w:left w:val="nil"/>
          <w:bottom w:val="nil"/>
          <w:right w:val="nil"/>
          <w:between w:val="nil"/>
        </w:pBdr>
      </w:pPr>
      <w:r>
        <w:t>Logs shall be kept in a secure and retrievable state for 12 months, after which they shall be securely destroyed.</w:t>
      </w:r>
    </w:p>
    <w:p w:rsidR="005F4C24" w:rsidRDefault="004C2B0D">
      <w:pPr>
        <w:keepNext/>
        <w:pBdr>
          <w:top w:val="nil"/>
          <w:left w:val="nil"/>
          <w:bottom w:val="nil"/>
          <w:right w:val="nil"/>
          <w:between w:val="nil"/>
        </w:pBdr>
        <w:ind w:left="720"/>
        <w:rPr>
          <w:b/>
          <w:color w:val="000000"/>
        </w:rPr>
      </w:pPr>
      <w:r>
        <w:rPr>
          <w:b/>
          <w:color w:val="000000"/>
        </w:rPr>
        <w:t>Event logs</w:t>
      </w:r>
    </w:p>
    <w:p w:rsidR="005F4C24" w:rsidRDefault="004C2B0D">
      <w:pPr>
        <w:keepNext/>
        <w:numPr>
          <w:ilvl w:val="1"/>
          <w:numId w:val="24"/>
        </w:numPr>
        <w:pBdr>
          <w:top w:val="nil"/>
          <w:left w:val="nil"/>
          <w:bottom w:val="nil"/>
          <w:right w:val="nil"/>
          <w:between w:val="nil"/>
        </w:pBdr>
      </w:pPr>
      <w:r>
        <w:rPr>
          <w:color w:val="000000"/>
        </w:rPr>
        <w:t>The Supplier must ensure that, unless the Authority otherwise agrees, any event logs do not log:</w:t>
      </w:r>
    </w:p>
    <w:p w:rsidR="005F4C24" w:rsidRDefault="004C2B0D">
      <w:pPr>
        <w:numPr>
          <w:ilvl w:val="2"/>
          <w:numId w:val="24"/>
        </w:numPr>
        <w:pBdr>
          <w:top w:val="nil"/>
          <w:left w:val="nil"/>
          <w:bottom w:val="nil"/>
          <w:right w:val="nil"/>
          <w:between w:val="nil"/>
        </w:pBdr>
      </w:pPr>
      <w:r>
        <w:rPr>
          <w:color w:val="000000"/>
        </w:rPr>
        <w:t>personal data, other than identifiers relating to users; or</w:t>
      </w:r>
    </w:p>
    <w:p w:rsidR="005F4C24" w:rsidRDefault="004C2B0D">
      <w:pPr>
        <w:numPr>
          <w:ilvl w:val="2"/>
          <w:numId w:val="5"/>
        </w:numPr>
        <w:pBdr>
          <w:top w:val="nil"/>
          <w:left w:val="nil"/>
          <w:bottom w:val="nil"/>
          <w:right w:val="nil"/>
          <w:between w:val="nil"/>
        </w:pBdr>
      </w:pPr>
      <w:r>
        <w:rPr>
          <w:color w:val="000000"/>
        </w:rPr>
        <w:t>sensitive data, such as credentials or security keys.</w:t>
      </w:r>
    </w:p>
    <w:p w:rsidR="005F4C24" w:rsidRDefault="004C2B0D">
      <w:pPr>
        <w:keepNext/>
        <w:pBdr>
          <w:top w:val="nil"/>
          <w:left w:val="nil"/>
          <w:bottom w:val="nil"/>
          <w:right w:val="nil"/>
          <w:between w:val="nil"/>
        </w:pBdr>
        <w:ind w:left="720"/>
        <w:rPr>
          <w:b/>
          <w:color w:val="000000"/>
        </w:rPr>
      </w:pPr>
      <w:r>
        <w:rPr>
          <w:b/>
          <w:color w:val="000000"/>
        </w:rPr>
        <w:t>Provision of information to Authority</w:t>
      </w:r>
    </w:p>
    <w:p w:rsidR="005F4C24" w:rsidRDefault="004C2B0D">
      <w:pPr>
        <w:keepNext/>
        <w:numPr>
          <w:ilvl w:val="1"/>
          <w:numId w:val="24"/>
        </w:numPr>
        <w:pBdr>
          <w:top w:val="nil"/>
          <w:left w:val="nil"/>
          <w:bottom w:val="nil"/>
          <w:right w:val="nil"/>
          <w:between w:val="nil"/>
        </w:pBdr>
      </w:pPr>
      <w:r>
        <w:rPr>
          <w:color w:val="000000"/>
        </w:rPr>
        <w:t>The Supplier must provide the Authority on request with:</w:t>
      </w:r>
    </w:p>
    <w:p w:rsidR="005F4C24" w:rsidRDefault="004C2B0D">
      <w:pPr>
        <w:numPr>
          <w:ilvl w:val="2"/>
          <w:numId w:val="24"/>
        </w:numPr>
        <w:pBdr>
          <w:top w:val="nil"/>
          <w:left w:val="nil"/>
          <w:bottom w:val="nil"/>
          <w:right w:val="nil"/>
          <w:between w:val="nil"/>
        </w:pBdr>
      </w:pPr>
      <w:r>
        <w:rPr>
          <w:color w:val="000000"/>
        </w:rPr>
        <w:t>full details of the Protective Monitoring System it has implemented; and</w:t>
      </w:r>
    </w:p>
    <w:p w:rsidR="005F4C24" w:rsidRDefault="004C2B0D">
      <w:pPr>
        <w:numPr>
          <w:ilvl w:val="2"/>
          <w:numId w:val="5"/>
        </w:numPr>
        <w:pBdr>
          <w:top w:val="nil"/>
          <w:left w:val="nil"/>
          <w:bottom w:val="nil"/>
          <w:right w:val="nil"/>
          <w:between w:val="nil"/>
        </w:pBdr>
      </w:pPr>
      <w:r>
        <w:rPr>
          <w:color w:val="000000"/>
        </w:rPr>
        <w:lastRenderedPageBreak/>
        <w:t>copies of monitoring logs and reports prepared as part of the Protective Monitoring System.</w:t>
      </w:r>
    </w:p>
    <w:p w:rsidR="005F4C24" w:rsidRDefault="004C2B0D">
      <w:pPr>
        <w:keepNext/>
        <w:pBdr>
          <w:top w:val="nil"/>
          <w:left w:val="nil"/>
          <w:bottom w:val="nil"/>
          <w:right w:val="nil"/>
          <w:between w:val="nil"/>
        </w:pBdr>
        <w:ind w:left="720"/>
        <w:rPr>
          <w:b/>
          <w:color w:val="000000"/>
        </w:rPr>
      </w:pPr>
      <w:r>
        <w:rPr>
          <w:b/>
          <w:color w:val="000000"/>
        </w:rPr>
        <w:t>Changes to Protective Monitoring System</w:t>
      </w:r>
    </w:p>
    <w:p w:rsidR="005F4C24" w:rsidRDefault="004C2B0D">
      <w:pPr>
        <w:keepNext/>
        <w:numPr>
          <w:ilvl w:val="1"/>
          <w:numId w:val="24"/>
        </w:numPr>
        <w:pBdr>
          <w:top w:val="nil"/>
          <w:left w:val="nil"/>
          <w:bottom w:val="nil"/>
          <w:right w:val="nil"/>
          <w:between w:val="nil"/>
        </w:pBdr>
      </w:pPr>
      <w:r>
        <w:rPr>
          <w:color w:val="000000"/>
        </w:rPr>
        <w:t>The Authority may at any time require the Supplier to update the Protective Monitoring System to:</w:t>
      </w:r>
    </w:p>
    <w:p w:rsidR="005F4C24" w:rsidRDefault="004C2B0D">
      <w:pPr>
        <w:numPr>
          <w:ilvl w:val="2"/>
          <w:numId w:val="24"/>
        </w:numPr>
        <w:pBdr>
          <w:top w:val="nil"/>
          <w:left w:val="nil"/>
          <w:bottom w:val="nil"/>
          <w:right w:val="nil"/>
          <w:between w:val="nil"/>
        </w:pBdr>
      </w:pPr>
      <w:r>
        <w:rPr>
          <w:color w:val="000000"/>
        </w:rPr>
        <w:t>respond to a specific threat identified by the Authority;</w:t>
      </w:r>
    </w:p>
    <w:p w:rsidR="005F4C24" w:rsidRDefault="004C2B0D">
      <w:pPr>
        <w:numPr>
          <w:ilvl w:val="2"/>
          <w:numId w:val="5"/>
        </w:numPr>
        <w:pBdr>
          <w:top w:val="nil"/>
          <w:left w:val="nil"/>
          <w:bottom w:val="nil"/>
          <w:right w:val="nil"/>
          <w:between w:val="nil"/>
        </w:pBdr>
      </w:pPr>
      <w:r>
        <w:rPr>
          <w:color w:val="000000"/>
        </w:rPr>
        <w:t xml:space="preserve">implement additional audit and monitoring requirements; and </w:t>
      </w:r>
    </w:p>
    <w:p w:rsidR="005F4C24" w:rsidRDefault="004C2B0D">
      <w:pPr>
        <w:numPr>
          <w:ilvl w:val="2"/>
          <w:numId w:val="24"/>
        </w:numPr>
        <w:pBdr>
          <w:top w:val="nil"/>
          <w:left w:val="nil"/>
          <w:bottom w:val="nil"/>
          <w:right w:val="nil"/>
          <w:between w:val="nil"/>
        </w:pBdr>
      </w:pPr>
      <w:r>
        <w:rPr>
          <w:color w:val="000000"/>
        </w:rPr>
        <w:t>stream any specified event logs to the Authority’s security information and event management system.</w:t>
      </w:r>
    </w:p>
    <w:p w:rsidR="005F4C24" w:rsidRDefault="004C2B0D">
      <w:pPr>
        <w:keepNext/>
        <w:numPr>
          <w:ilvl w:val="0"/>
          <w:numId w:val="5"/>
        </w:numPr>
        <w:pBdr>
          <w:top w:val="nil"/>
          <w:left w:val="nil"/>
          <w:bottom w:val="nil"/>
          <w:right w:val="nil"/>
          <w:between w:val="nil"/>
        </w:pBdr>
        <w:spacing w:before="360"/>
      </w:pPr>
      <w:bookmarkStart w:id="130" w:name="_heading=h.302dr9l" w:colFirst="0" w:colLast="0"/>
      <w:bookmarkEnd w:id="130"/>
      <w:r>
        <w:rPr>
          <w:b/>
          <w:color w:val="000000"/>
          <w:sz w:val="24"/>
          <w:szCs w:val="24"/>
        </w:rPr>
        <w:t>Audit rights</w:t>
      </w:r>
    </w:p>
    <w:p w:rsidR="005F4C24" w:rsidRDefault="004C2B0D">
      <w:pPr>
        <w:keepNext/>
        <w:pBdr>
          <w:top w:val="nil"/>
          <w:left w:val="nil"/>
          <w:bottom w:val="nil"/>
          <w:right w:val="nil"/>
          <w:between w:val="nil"/>
        </w:pBdr>
        <w:ind w:left="720"/>
        <w:rPr>
          <w:b/>
          <w:color w:val="000000"/>
        </w:rPr>
      </w:pPr>
      <w:r>
        <w:rPr>
          <w:b/>
          <w:color w:val="000000"/>
        </w:rPr>
        <w:t>Right of audit</w:t>
      </w:r>
    </w:p>
    <w:p w:rsidR="005F4C24" w:rsidRDefault="004C2B0D">
      <w:pPr>
        <w:keepNext/>
        <w:numPr>
          <w:ilvl w:val="1"/>
          <w:numId w:val="24"/>
        </w:numPr>
        <w:pBdr>
          <w:top w:val="nil"/>
          <w:left w:val="nil"/>
          <w:bottom w:val="nil"/>
          <w:right w:val="nil"/>
          <w:between w:val="nil"/>
        </w:pBdr>
      </w:pPr>
      <w:bookmarkStart w:id="131" w:name="_heading=h.1f7o1he" w:colFirst="0" w:colLast="0"/>
      <w:bookmarkEnd w:id="131"/>
      <w:r>
        <w:rPr>
          <w:color w:val="000000"/>
        </w:rPr>
        <w:t>The Authority may undertake an audit of the Supplier or any Sub-contractor to:</w:t>
      </w:r>
    </w:p>
    <w:p w:rsidR="005F4C24" w:rsidRDefault="004C2B0D">
      <w:pPr>
        <w:numPr>
          <w:ilvl w:val="2"/>
          <w:numId w:val="24"/>
        </w:numPr>
        <w:pBdr>
          <w:top w:val="nil"/>
          <w:left w:val="nil"/>
          <w:bottom w:val="nil"/>
          <w:right w:val="nil"/>
          <w:between w:val="nil"/>
        </w:pBdr>
      </w:pPr>
      <w:r>
        <w:rPr>
          <w:color w:val="000000"/>
        </w:rPr>
        <w:t>verify the Supplier’s or Sub-contractor’s (as applicable) compliance with the requirements of this Schedule [x] and the Data Protection Laws as they apply to Authority Data;</w:t>
      </w:r>
    </w:p>
    <w:p w:rsidR="005F4C24" w:rsidRDefault="004C2B0D">
      <w:pPr>
        <w:numPr>
          <w:ilvl w:val="2"/>
          <w:numId w:val="5"/>
        </w:numPr>
        <w:pBdr>
          <w:top w:val="nil"/>
          <w:left w:val="nil"/>
          <w:bottom w:val="nil"/>
          <w:right w:val="nil"/>
          <w:between w:val="nil"/>
        </w:pBdr>
      </w:pPr>
      <w:r>
        <w:rPr>
          <w:color w:val="000000"/>
        </w:rPr>
        <w:t>inspect the Supplier Information Management System (or any part of it);</w:t>
      </w:r>
    </w:p>
    <w:p w:rsidR="005F4C24" w:rsidRDefault="004C2B0D">
      <w:pPr>
        <w:numPr>
          <w:ilvl w:val="2"/>
          <w:numId w:val="24"/>
        </w:numPr>
        <w:pBdr>
          <w:top w:val="nil"/>
          <w:left w:val="nil"/>
          <w:bottom w:val="nil"/>
          <w:right w:val="nil"/>
          <w:between w:val="nil"/>
        </w:pBdr>
      </w:pPr>
      <w:r>
        <w:rPr>
          <w:color w:val="000000"/>
        </w:rPr>
        <w:t>review the integrity, confidentiality and security of the Authority Data; and/or</w:t>
      </w:r>
    </w:p>
    <w:p w:rsidR="005F4C24" w:rsidRDefault="004C2B0D">
      <w:pPr>
        <w:numPr>
          <w:ilvl w:val="2"/>
          <w:numId w:val="5"/>
        </w:numPr>
        <w:pBdr>
          <w:top w:val="nil"/>
          <w:left w:val="nil"/>
          <w:bottom w:val="nil"/>
          <w:right w:val="nil"/>
          <w:between w:val="nil"/>
        </w:pBdr>
      </w:pPr>
      <w:r>
        <w:rPr>
          <w:color w:val="000000"/>
        </w:rPr>
        <w:t>review the integrity and security of the Code.</w:t>
      </w:r>
    </w:p>
    <w:p w:rsidR="005F4C24" w:rsidRDefault="004C2B0D">
      <w:pPr>
        <w:keepNext/>
        <w:numPr>
          <w:ilvl w:val="1"/>
          <w:numId w:val="24"/>
        </w:numPr>
        <w:pBdr>
          <w:top w:val="nil"/>
          <w:left w:val="nil"/>
          <w:bottom w:val="nil"/>
          <w:right w:val="nil"/>
          <w:between w:val="nil"/>
        </w:pBdr>
      </w:pPr>
      <w:r>
        <w:rPr>
          <w:color w:val="000000"/>
        </w:rPr>
        <w:t>Any audit undertaken under this paragraph 13.1:</w:t>
      </w:r>
    </w:p>
    <w:p w:rsidR="005F4C24" w:rsidRDefault="004C2B0D">
      <w:pPr>
        <w:numPr>
          <w:ilvl w:val="2"/>
          <w:numId w:val="24"/>
        </w:numPr>
        <w:pBdr>
          <w:top w:val="nil"/>
          <w:left w:val="nil"/>
          <w:bottom w:val="nil"/>
          <w:right w:val="nil"/>
          <w:between w:val="nil"/>
        </w:pBdr>
      </w:pPr>
      <w:r>
        <w:rPr>
          <w:color w:val="000000"/>
        </w:rPr>
        <w:t>may only take place during the Term and for a period of 18 months afterwards; and</w:t>
      </w:r>
    </w:p>
    <w:p w:rsidR="005F4C24" w:rsidRDefault="004C2B0D">
      <w:pPr>
        <w:numPr>
          <w:ilvl w:val="2"/>
          <w:numId w:val="5"/>
        </w:numPr>
        <w:pBdr>
          <w:top w:val="nil"/>
          <w:left w:val="nil"/>
          <w:bottom w:val="nil"/>
          <w:right w:val="nil"/>
          <w:between w:val="nil"/>
        </w:pBdr>
      </w:pPr>
      <w:r>
        <w:rPr>
          <w:color w:val="000000"/>
        </w:rPr>
        <w:t>is in addition to any other rights of audit the Authority has under this Contract.</w:t>
      </w:r>
    </w:p>
    <w:p w:rsidR="005F4C24" w:rsidRDefault="004C2B0D">
      <w:pPr>
        <w:keepNext/>
        <w:numPr>
          <w:ilvl w:val="1"/>
          <w:numId w:val="24"/>
        </w:numPr>
        <w:pBdr>
          <w:top w:val="nil"/>
          <w:left w:val="nil"/>
          <w:bottom w:val="nil"/>
          <w:right w:val="nil"/>
          <w:between w:val="nil"/>
        </w:pBdr>
      </w:pPr>
      <w:r>
        <w:rPr>
          <w:color w:val="000000"/>
        </w:rPr>
        <w:t>The Authority may not undertake more than one audit under paragraph 13.1 in each calendar year unless the Authority has reasonable grounds for believing:</w:t>
      </w:r>
    </w:p>
    <w:p w:rsidR="005F4C24" w:rsidRDefault="004C2B0D">
      <w:pPr>
        <w:numPr>
          <w:ilvl w:val="2"/>
          <w:numId w:val="24"/>
        </w:numPr>
        <w:pBdr>
          <w:top w:val="nil"/>
          <w:left w:val="nil"/>
          <w:bottom w:val="nil"/>
          <w:right w:val="nil"/>
          <w:between w:val="nil"/>
        </w:pBdr>
      </w:pPr>
      <w:r>
        <w:rPr>
          <w:color w:val="000000"/>
        </w:rPr>
        <w:t>the Supplier or any Sub-contractor has not complied with its obligations under this Contract or the Data Protection Laws as they apply to the Authority Data;</w:t>
      </w:r>
    </w:p>
    <w:p w:rsidR="005F4C24" w:rsidRDefault="004C2B0D">
      <w:pPr>
        <w:numPr>
          <w:ilvl w:val="2"/>
          <w:numId w:val="5"/>
        </w:numPr>
        <w:pBdr>
          <w:top w:val="nil"/>
          <w:left w:val="nil"/>
          <w:bottom w:val="nil"/>
          <w:right w:val="nil"/>
          <w:between w:val="nil"/>
        </w:pBdr>
      </w:pPr>
      <w:r>
        <w:rPr>
          <w:color w:val="000000"/>
        </w:rPr>
        <w:t>there has been or is likely to be a Security Breach affecting the Authority Data or the Code; or</w:t>
      </w:r>
    </w:p>
    <w:p w:rsidR="005F4C24" w:rsidRDefault="004C2B0D">
      <w:pPr>
        <w:keepNext/>
        <w:numPr>
          <w:ilvl w:val="2"/>
          <w:numId w:val="24"/>
        </w:numPr>
        <w:pBdr>
          <w:top w:val="nil"/>
          <w:left w:val="nil"/>
          <w:bottom w:val="nil"/>
          <w:right w:val="nil"/>
          <w:between w:val="nil"/>
        </w:pBdr>
      </w:pPr>
      <w:r>
        <w:rPr>
          <w:color w:val="000000"/>
        </w:rPr>
        <w:t>where vulnerabilities, or potential vulnerabilities, in the Code have been identified by:</w:t>
      </w:r>
    </w:p>
    <w:p w:rsidR="005F4C24" w:rsidRDefault="004C2B0D">
      <w:pPr>
        <w:numPr>
          <w:ilvl w:val="3"/>
          <w:numId w:val="24"/>
        </w:numPr>
        <w:pBdr>
          <w:top w:val="nil"/>
          <w:left w:val="nil"/>
          <w:bottom w:val="nil"/>
          <w:right w:val="nil"/>
          <w:between w:val="nil"/>
        </w:pBdr>
      </w:pPr>
      <w:r>
        <w:rPr>
          <w:color w:val="000000"/>
        </w:rPr>
        <w:t>an IT Health Check; or</w:t>
      </w:r>
    </w:p>
    <w:p w:rsidR="005F4C24" w:rsidRDefault="004C2B0D">
      <w:pPr>
        <w:numPr>
          <w:ilvl w:val="3"/>
          <w:numId w:val="5"/>
        </w:numPr>
        <w:pBdr>
          <w:top w:val="nil"/>
          <w:left w:val="nil"/>
          <w:bottom w:val="nil"/>
          <w:right w:val="nil"/>
          <w:between w:val="nil"/>
        </w:pBdr>
      </w:pPr>
      <w:r>
        <w:rPr>
          <w:color w:val="000000"/>
        </w:rPr>
        <w:t>a Breach of Security.</w:t>
      </w:r>
    </w:p>
    <w:p w:rsidR="005F4C24" w:rsidRDefault="004C2B0D">
      <w:pPr>
        <w:keepNext/>
        <w:pBdr>
          <w:top w:val="nil"/>
          <w:left w:val="nil"/>
          <w:bottom w:val="nil"/>
          <w:right w:val="nil"/>
          <w:between w:val="nil"/>
        </w:pBdr>
        <w:ind w:left="720"/>
        <w:rPr>
          <w:b/>
          <w:color w:val="000000"/>
        </w:rPr>
      </w:pPr>
      <w:r>
        <w:rPr>
          <w:b/>
          <w:color w:val="000000"/>
        </w:rPr>
        <w:t>Conduct of audits</w:t>
      </w:r>
    </w:p>
    <w:p w:rsidR="005F4C24" w:rsidRDefault="004C2B0D">
      <w:pPr>
        <w:numPr>
          <w:ilvl w:val="1"/>
          <w:numId w:val="24"/>
        </w:numPr>
        <w:pBdr>
          <w:top w:val="nil"/>
          <w:left w:val="nil"/>
          <w:bottom w:val="nil"/>
          <w:right w:val="nil"/>
          <w:between w:val="nil"/>
        </w:pBdr>
      </w:pPr>
      <w:r>
        <w:rPr>
          <w:color w:val="000000"/>
        </w:rPr>
        <w:t>The Authority must use reasonable endeavours to provide 15 Working Days’ notice of an audit.</w:t>
      </w:r>
    </w:p>
    <w:p w:rsidR="005F4C24" w:rsidRDefault="004C2B0D">
      <w:pPr>
        <w:keepNext/>
        <w:numPr>
          <w:ilvl w:val="1"/>
          <w:numId w:val="5"/>
        </w:numPr>
        <w:pBdr>
          <w:top w:val="nil"/>
          <w:left w:val="nil"/>
          <w:bottom w:val="nil"/>
          <w:right w:val="nil"/>
          <w:between w:val="nil"/>
        </w:pBdr>
      </w:pPr>
      <w:r>
        <w:rPr>
          <w:color w:val="000000"/>
        </w:rPr>
        <w:lastRenderedPageBreak/>
        <w:t>The Authority must when conducting an audit:</w:t>
      </w:r>
    </w:p>
    <w:p w:rsidR="005F4C24" w:rsidRDefault="004C2B0D">
      <w:pPr>
        <w:numPr>
          <w:ilvl w:val="2"/>
          <w:numId w:val="24"/>
        </w:numPr>
        <w:pBdr>
          <w:top w:val="nil"/>
          <w:left w:val="nil"/>
          <w:bottom w:val="nil"/>
          <w:right w:val="nil"/>
          <w:between w:val="nil"/>
        </w:pBdr>
      </w:pPr>
      <w:r>
        <w:rPr>
          <w:color w:val="000000"/>
        </w:rPr>
        <w:t>comply with all relevant policies and guidelines of the Supplier or Sub-contractor (as applicable) concerning access to the Suppler Information Management System the Authority considers reasonable having regard to the purpose of the audit; and</w:t>
      </w:r>
    </w:p>
    <w:p w:rsidR="005F4C24" w:rsidRDefault="004C2B0D">
      <w:pPr>
        <w:numPr>
          <w:ilvl w:val="2"/>
          <w:numId w:val="5"/>
        </w:numPr>
        <w:pBdr>
          <w:top w:val="nil"/>
          <w:left w:val="nil"/>
          <w:bottom w:val="nil"/>
          <w:right w:val="nil"/>
          <w:between w:val="nil"/>
        </w:pBdr>
      </w:pPr>
      <w:r>
        <w:rPr>
          <w:color w:val="000000"/>
        </w:rPr>
        <w:t>use reasonable endeavours to ensure that the conduct of the audit does not unreasonably disrupt the Supplier or Sub-contractor (as applicable) or delay the provision of the Services.</w:t>
      </w:r>
    </w:p>
    <w:p w:rsidR="005F4C24" w:rsidRDefault="004C2B0D">
      <w:pPr>
        <w:keepNext/>
        <w:numPr>
          <w:ilvl w:val="1"/>
          <w:numId w:val="24"/>
        </w:numPr>
        <w:pBdr>
          <w:top w:val="nil"/>
          <w:left w:val="nil"/>
          <w:bottom w:val="nil"/>
          <w:right w:val="nil"/>
          <w:between w:val="nil"/>
        </w:pBdr>
      </w:pPr>
      <w:r>
        <w:rPr>
          <w:color w:val="000000"/>
        </w:rPr>
        <w:t>The Supplier must, and must ensure that Sub-contractors, on demand provide the Authority with all co-operation and assistance the Authority may reasonably require, including:</w:t>
      </w:r>
    </w:p>
    <w:p w:rsidR="005F4C24" w:rsidRDefault="004C2B0D">
      <w:pPr>
        <w:numPr>
          <w:ilvl w:val="2"/>
          <w:numId w:val="24"/>
        </w:numPr>
        <w:pBdr>
          <w:top w:val="nil"/>
          <w:left w:val="nil"/>
          <w:bottom w:val="nil"/>
          <w:right w:val="nil"/>
          <w:between w:val="nil"/>
        </w:pBdr>
      </w:pPr>
      <w:r>
        <w:rPr>
          <w:color w:val="000000"/>
        </w:rPr>
        <w:t>all information requested by the Authority within the scope of the audit;</w:t>
      </w:r>
    </w:p>
    <w:p w:rsidR="005F4C24" w:rsidRDefault="004C2B0D">
      <w:pPr>
        <w:numPr>
          <w:ilvl w:val="2"/>
          <w:numId w:val="5"/>
        </w:numPr>
        <w:pBdr>
          <w:top w:val="nil"/>
          <w:left w:val="nil"/>
          <w:bottom w:val="nil"/>
          <w:right w:val="nil"/>
          <w:between w:val="nil"/>
        </w:pBdr>
      </w:pPr>
      <w:r>
        <w:rPr>
          <w:color w:val="000000"/>
        </w:rPr>
        <w:t>access to the Supplier Information Management System; and</w:t>
      </w:r>
    </w:p>
    <w:p w:rsidR="005F4C24" w:rsidRDefault="004C2B0D">
      <w:pPr>
        <w:numPr>
          <w:ilvl w:val="2"/>
          <w:numId w:val="24"/>
        </w:numPr>
        <w:pBdr>
          <w:top w:val="nil"/>
          <w:left w:val="nil"/>
          <w:bottom w:val="nil"/>
          <w:right w:val="nil"/>
          <w:between w:val="nil"/>
        </w:pBdr>
      </w:pPr>
      <w:r>
        <w:rPr>
          <w:color w:val="000000"/>
        </w:rPr>
        <w:t>access to the Supplier Staff.</w:t>
      </w:r>
    </w:p>
    <w:p w:rsidR="005F4C24" w:rsidRDefault="004C2B0D">
      <w:pPr>
        <w:keepNext/>
        <w:pBdr>
          <w:top w:val="nil"/>
          <w:left w:val="nil"/>
          <w:bottom w:val="nil"/>
          <w:right w:val="nil"/>
          <w:between w:val="nil"/>
        </w:pBdr>
        <w:ind w:left="720"/>
        <w:rPr>
          <w:b/>
          <w:color w:val="000000"/>
        </w:rPr>
      </w:pPr>
      <w:r>
        <w:rPr>
          <w:b/>
          <w:color w:val="000000"/>
        </w:rPr>
        <w:t>Response to audit findings</w:t>
      </w:r>
    </w:p>
    <w:p w:rsidR="005F4C24" w:rsidRDefault="004C2B0D">
      <w:pPr>
        <w:keepNext/>
        <w:numPr>
          <w:ilvl w:val="1"/>
          <w:numId w:val="24"/>
        </w:numPr>
        <w:pBdr>
          <w:top w:val="nil"/>
          <w:left w:val="nil"/>
          <w:bottom w:val="nil"/>
          <w:right w:val="nil"/>
          <w:between w:val="nil"/>
        </w:pBdr>
      </w:pPr>
      <w:r>
        <w:rPr>
          <w:color w:val="000000"/>
        </w:rPr>
        <w:t>Where an audit finds that:</w:t>
      </w:r>
    </w:p>
    <w:p w:rsidR="005F4C24" w:rsidRDefault="004C2B0D">
      <w:pPr>
        <w:numPr>
          <w:ilvl w:val="2"/>
          <w:numId w:val="24"/>
        </w:numPr>
        <w:pBdr>
          <w:top w:val="nil"/>
          <w:left w:val="nil"/>
          <w:bottom w:val="nil"/>
          <w:right w:val="nil"/>
          <w:between w:val="nil"/>
        </w:pBdr>
      </w:pPr>
      <w:r>
        <w:rPr>
          <w:color w:val="000000"/>
        </w:rPr>
        <w:t>the Supplier or a Sub-contractor has not complied with this Contract or the Data Protection Laws as they apply to the Authority Data; or</w:t>
      </w:r>
    </w:p>
    <w:p w:rsidR="005F4C24" w:rsidRDefault="004C2B0D">
      <w:pPr>
        <w:numPr>
          <w:ilvl w:val="2"/>
          <w:numId w:val="5"/>
        </w:numPr>
        <w:pBdr>
          <w:top w:val="nil"/>
          <w:left w:val="nil"/>
          <w:bottom w:val="nil"/>
          <w:right w:val="nil"/>
          <w:between w:val="nil"/>
        </w:pBdr>
      </w:pPr>
      <w:r>
        <w:rPr>
          <w:color w:val="000000"/>
        </w:rPr>
        <w:t>there has been or is likely to be a Security Breach affecting the Authority Data</w:t>
      </w:r>
    </w:p>
    <w:p w:rsidR="005F4C24" w:rsidRDefault="004C2B0D">
      <w:pPr>
        <w:numPr>
          <w:ilvl w:val="1"/>
          <w:numId w:val="37"/>
        </w:numPr>
        <w:pBdr>
          <w:top w:val="nil"/>
          <w:left w:val="nil"/>
          <w:bottom w:val="nil"/>
          <w:right w:val="nil"/>
          <w:between w:val="nil"/>
        </w:pBdr>
      </w:pPr>
      <w:r>
        <w:rPr>
          <w:color w:val="000000"/>
        </w:rPr>
        <w:t>the Authority may require the Supplier to remedy those defaults at its own cost and expense and within the time reasonably specified by the Authority.</w:t>
      </w:r>
    </w:p>
    <w:p w:rsidR="005F4C24" w:rsidRDefault="004C2B0D">
      <w:pPr>
        <w:numPr>
          <w:ilvl w:val="1"/>
          <w:numId w:val="24"/>
        </w:numPr>
        <w:pBdr>
          <w:top w:val="nil"/>
          <w:left w:val="nil"/>
          <w:bottom w:val="nil"/>
          <w:right w:val="nil"/>
          <w:between w:val="nil"/>
        </w:pBdr>
      </w:pPr>
      <w:r>
        <w:rPr>
          <w:color w:val="000000"/>
        </w:rPr>
        <w:t>The exercise by the Authority of any rights it may have under this paragraph 3 does not affect the exercise by it of any other or equivalent rights it may have under this Contract in respect of the audit findings.</w:t>
      </w:r>
    </w:p>
    <w:p w:rsidR="005F4C24" w:rsidRDefault="004C2B0D">
      <w:pPr>
        <w:keepNext/>
        <w:numPr>
          <w:ilvl w:val="0"/>
          <w:numId w:val="5"/>
        </w:numPr>
        <w:pBdr>
          <w:top w:val="nil"/>
          <w:left w:val="nil"/>
          <w:bottom w:val="nil"/>
          <w:right w:val="nil"/>
          <w:between w:val="nil"/>
        </w:pBdr>
        <w:spacing w:before="360"/>
      </w:pPr>
      <w:r>
        <w:rPr>
          <w:b/>
          <w:color w:val="000000"/>
          <w:sz w:val="24"/>
          <w:szCs w:val="24"/>
        </w:rPr>
        <w:t>Breach of Security</w:t>
      </w:r>
    </w:p>
    <w:p w:rsidR="005F4C24" w:rsidRDefault="004C2B0D">
      <w:pPr>
        <w:keepNext/>
        <w:pBdr>
          <w:top w:val="nil"/>
          <w:left w:val="nil"/>
          <w:bottom w:val="nil"/>
          <w:right w:val="nil"/>
          <w:between w:val="nil"/>
        </w:pBdr>
        <w:ind w:left="720"/>
        <w:rPr>
          <w:b/>
          <w:color w:val="000000"/>
        </w:rPr>
      </w:pPr>
      <w:r>
        <w:rPr>
          <w:b/>
          <w:color w:val="000000"/>
        </w:rPr>
        <w:t>Reporting Breach of Security</w:t>
      </w:r>
    </w:p>
    <w:p w:rsidR="005F4C24" w:rsidRDefault="004C2B0D">
      <w:pPr>
        <w:numPr>
          <w:ilvl w:val="1"/>
          <w:numId w:val="24"/>
        </w:numPr>
        <w:pBdr>
          <w:top w:val="nil"/>
          <w:left w:val="nil"/>
          <w:bottom w:val="nil"/>
          <w:right w:val="nil"/>
          <w:between w:val="nil"/>
        </w:pBdr>
      </w:pPr>
      <w:r>
        <w:rPr>
          <w:color w:val="000000"/>
        </w:rPr>
        <w:t>If either party becomes aware of a Breach of Security it shall notify the other as soon as reasonably practicable after becoming aware of the breach, and in any event within 24 hours.</w:t>
      </w:r>
    </w:p>
    <w:p w:rsidR="005F4C24" w:rsidRDefault="004C2B0D">
      <w:pPr>
        <w:keepNext/>
        <w:pBdr>
          <w:top w:val="nil"/>
          <w:left w:val="nil"/>
          <w:bottom w:val="nil"/>
          <w:right w:val="nil"/>
          <w:between w:val="nil"/>
        </w:pBdr>
        <w:ind w:left="720"/>
        <w:rPr>
          <w:b/>
          <w:color w:val="000000"/>
        </w:rPr>
      </w:pPr>
      <w:r>
        <w:rPr>
          <w:b/>
          <w:color w:val="000000"/>
        </w:rPr>
        <w:t>Immediate steps</w:t>
      </w:r>
    </w:p>
    <w:p w:rsidR="005F4C24" w:rsidRDefault="004C2B0D">
      <w:pPr>
        <w:keepNext/>
        <w:numPr>
          <w:ilvl w:val="1"/>
          <w:numId w:val="24"/>
        </w:numPr>
        <w:pBdr>
          <w:top w:val="nil"/>
          <w:left w:val="nil"/>
          <w:bottom w:val="nil"/>
          <w:right w:val="nil"/>
          <w:between w:val="nil"/>
        </w:pBdr>
      </w:pPr>
      <w:bookmarkStart w:id="132" w:name="_heading=h.3z7bk57" w:colFirst="0" w:colLast="0"/>
      <w:bookmarkEnd w:id="132"/>
      <w:r>
        <w:rPr>
          <w:color w:val="000000"/>
        </w:rPr>
        <w:t xml:space="preserve">The Supplier must, upon becoming aware of a Breach of Security immediately take those steps identified in the Security Management Plan (if applicable) and all other steps </w:t>
      </w:r>
      <w:proofErr w:type="gramStart"/>
      <w:r>
        <w:rPr>
          <w:color w:val="000000"/>
        </w:rPr>
        <w:t>reasonably  necessary</w:t>
      </w:r>
      <w:proofErr w:type="gramEnd"/>
      <w:r>
        <w:rPr>
          <w:color w:val="000000"/>
        </w:rPr>
        <w:t xml:space="preserve"> to:</w:t>
      </w:r>
    </w:p>
    <w:p w:rsidR="005F4C24" w:rsidRDefault="004C2B0D">
      <w:pPr>
        <w:numPr>
          <w:ilvl w:val="2"/>
          <w:numId w:val="24"/>
        </w:numPr>
        <w:pBdr>
          <w:top w:val="nil"/>
          <w:left w:val="nil"/>
          <w:bottom w:val="nil"/>
          <w:right w:val="nil"/>
          <w:between w:val="nil"/>
        </w:pBdr>
      </w:pPr>
      <w:r>
        <w:rPr>
          <w:color w:val="000000"/>
        </w:rPr>
        <w:t>minimise the extent of actual or potential harm caused by such Breach of Security;</w:t>
      </w:r>
    </w:p>
    <w:p w:rsidR="005F4C24" w:rsidRDefault="004C2B0D">
      <w:pPr>
        <w:numPr>
          <w:ilvl w:val="2"/>
          <w:numId w:val="5"/>
        </w:numPr>
        <w:pBdr>
          <w:top w:val="nil"/>
          <w:left w:val="nil"/>
          <w:bottom w:val="nil"/>
          <w:right w:val="nil"/>
          <w:between w:val="nil"/>
        </w:pBdr>
      </w:pPr>
      <w:r>
        <w:rPr>
          <w:color w:val="000000"/>
        </w:rPr>
        <w:t xml:space="preserve">remedy such Breach of Security to the extent possible; </w:t>
      </w:r>
    </w:p>
    <w:p w:rsidR="005F4C24" w:rsidRDefault="004C2B0D">
      <w:pPr>
        <w:numPr>
          <w:ilvl w:val="2"/>
          <w:numId w:val="24"/>
        </w:numPr>
        <w:pBdr>
          <w:top w:val="nil"/>
          <w:left w:val="nil"/>
          <w:bottom w:val="nil"/>
          <w:right w:val="nil"/>
          <w:between w:val="nil"/>
        </w:pBdr>
      </w:pPr>
      <w:r>
        <w:rPr>
          <w:color w:val="000000"/>
        </w:rPr>
        <w:t>apply a tested mitigation against any such Breach of Security; and</w:t>
      </w:r>
    </w:p>
    <w:p w:rsidR="005F4C24" w:rsidRDefault="004C2B0D">
      <w:pPr>
        <w:numPr>
          <w:ilvl w:val="2"/>
          <w:numId w:val="5"/>
        </w:numPr>
        <w:pBdr>
          <w:top w:val="nil"/>
          <w:left w:val="nil"/>
          <w:bottom w:val="nil"/>
          <w:right w:val="nil"/>
          <w:between w:val="nil"/>
        </w:pBdr>
      </w:pPr>
      <w:r>
        <w:rPr>
          <w:color w:val="000000"/>
        </w:rPr>
        <w:t>prevent a further Breach of Security in the future which exploits the same root cause failure;</w:t>
      </w:r>
    </w:p>
    <w:p w:rsidR="005F4C24" w:rsidRDefault="004C2B0D">
      <w:pPr>
        <w:keepNext/>
        <w:pBdr>
          <w:top w:val="nil"/>
          <w:left w:val="nil"/>
          <w:bottom w:val="nil"/>
          <w:right w:val="nil"/>
          <w:between w:val="nil"/>
        </w:pBdr>
        <w:ind w:left="720"/>
        <w:rPr>
          <w:b/>
          <w:color w:val="000000"/>
        </w:rPr>
      </w:pPr>
      <w:r>
        <w:rPr>
          <w:b/>
          <w:color w:val="000000"/>
        </w:rPr>
        <w:lastRenderedPageBreak/>
        <w:t>Subsequent action</w:t>
      </w:r>
    </w:p>
    <w:p w:rsidR="005F4C24" w:rsidRDefault="004C2B0D">
      <w:pPr>
        <w:keepNext/>
        <w:numPr>
          <w:ilvl w:val="1"/>
          <w:numId w:val="24"/>
        </w:numPr>
        <w:pBdr>
          <w:top w:val="nil"/>
          <w:left w:val="nil"/>
          <w:bottom w:val="nil"/>
          <w:right w:val="nil"/>
          <w:between w:val="nil"/>
        </w:pBdr>
      </w:pPr>
      <w:bookmarkStart w:id="133" w:name="_heading=h.2eclud0" w:colFirst="0" w:colLast="0"/>
      <w:bookmarkEnd w:id="133"/>
      <w:r>
        <w:rPr>
          <w:color w:val="000000"/>
        </w:rPr>
        <w:t>As soon as reasonably practicable and, in any event, within 5 Working Days, or such other period agreed with the Authority, following the Breach of Security, provide to the Authority:</w:t>
      </w:r>
    </w:p>
    <w:p w:rsidR="005F4C24" w:rsidRDefault="004C2B0D">
      <w:pPr>
        <w:numPr>
          <w:ilvl w:val="2"/>
          <w:numId w:val="24"/>
        </w:numPr>
        <w:pBdr>
          <w:top w:val="nil"/>
          <w:left w:val="nil"/>
          <w:bottom w:val="nil"/>
          <w:right w:val="nil"/>
          <w:between w:val="nil"/>
        </w:pBdr>
      </w:pPr>
      <w:r>
        <w:rPr>
          <w:color w:val="000000"/>
        </w:rPr>
        <w:t>full details of the Breach of Security; and</w:t>
      </w:r>
    </w:p>
    <w:p w:rsidR="005F4C24" w:rsidRDefault="004C2B0D">
      <w:pPr>
        <w:keepNext/>
        <w:numPr>
          <w:ilvl w:val="2"/>
          <w:numId w:val="5"/>
        </w:numPr>
        <w:pBdr>
          <w:top w:val="nil"/>
          <w:left w:val="nil"/>
          <w:bottom w:val="nil"/>
          <w:right w:val="nil"/>
          <w:between w:val="nil"/>
        </w:pBdr>
      </w:pPr>
      <w:r>
        <w:rPr>
          <w:color w:val="000000"/>
        </w:rPr>
        <w:t>if required by the Authority:</w:t>
      </w:r>
    </w:p>
    <w:p w:rsidR="005F4C24" w:rsidRDefault="004C2B0D">
      <w:pPr>
        <w:numPr>
          <w:ilvl w:val="3"/>
          <w:numId w:val="24"/>
        </w:numPr>
        <w:pBdr>
          <w:top w:val="nil"/>
          <w:left w:val="nil"/>
          <w:bottom w:val="nil"/>
          <w:right w:val="nil"/>
          <w:between w:val="nil"/>
        </w:pBdr>
      </w:pPr>
      <w:r>
        <w:rPr>
          <w:color w:val="000000"/>
        </w:rPr>
        <w:t>a root cause analysis; and</w:t>
      </w:r>
    </w:p>
    <w:p w:rsidR="005F4C24" w:rsidRDefault="004C2B0D">
      <w:pPr>
        <w:numPr>
          <w:ilvl w:val="3"/>
          <w:numId w:val="5"/>
        </w:numPr>
        <w:pBdr>
          <w:top w:val="nil"/>
          <w:left w:val="nil"/>
          <w:bottom w:val="nil"/>
          <w:right w:val="nil"/>
          <w:between w:val="nil"/>
        </w:pBdr>
      </w:pPr>
      <w:r>
        <w:rPr>
          <w:color w:val="000000"/>
        </w:rPr>
        <w:t>a draft plan addressing the root cause of the Breach of Security (</w:t>
      </w:r>
      <w:r>
        <w:rPr>
          <w:b/>
          <w:color w:val="000000"/>
        </w:rPr>
        <w:t>Breach Action Plan</w:t>
      </w:r>
      <w:r>
        <w:rPr>
          <w:color w:val="000000"/>
        </w:rPr>
        <w:t>).</w:t>
      </w:r>
    </w:p>
    <w:p w:rsidR="005F4C24" w:rsidRDefault="004C2B0D">
      <w:pPr>
        <w:keepNext/>
        <w:numPr>
          <w:ilvl w:val="1"/>
          <w:numId w:val="24"/>
        </w:numPr>
        <w:pBdr>
          <w:top w:val="nil"/>
          <w:left w:val="nil"/>
          <w:bottom w:val="nil"/>
          <w:right w:val="nil"/>
          <w:between w:val="nil"/>
        </w:pBdr>
      </w:pPr>
      <w:r>
        <w:rPr>
          <w:color w:val="000000"/>
        </w:rPr>
        <w:t>The draft Breach Action Plan must, in respect of each issue identified in the root cause analysis:</w:t>
      </w:r>
    </w:p>
    <w:p w:rsidR="005F4C24" w:rsidRDefault="004C2B0D">
      <w:pPr>
        <w:numPr>
          <w:ilvl w:val="2"/>
          <w:numId w:val="24"/>
        </w:numPr>
        <w:pBdr>
          <w:top w:val="nil"/>
          <w:left w:val="nil"/>
          <w:bottom w:val="nil"/>
          <w:right w:val="nil"/>
          <w:between w:val="nil"/>
        </w:pBdr>
      </w:pPr>
      <w:r>
        <w:rPr>
          <w:color w:val="000000"/>
        </w:rPr>
        <w:t>how the issue will be remedied;</w:t>
      </w:r>
    </w:p>
    <w:p w:rsidR="005F4C24" w:rsidRDefault="004C2B0D">
      <w:pPr>
        <w:numPr>
          <w:ilvl w:val="2"/>
          <w:numId w:val="5"/>
        </w:numPr>
        <w:pBdr>
          <w:top w:val="nil"/>
          <w:left w:val="nil"/>
          <w:bottom w:val="nil"/>
          <w:right w:val="nil"/>
          <w:between w:val="nil"/>
        </w:pBdr>
      </w:pPr>
      <w:r>
        <w:rPr>
          <w:color w:val="000000"/>
        </w:rPr>
        <w:t>the date by which the issue will be remedied; and</w:t>
      </w:r>
    </w:p>
    <w:p w:rsidR="005F4C24" w:rsidRDefault="004C2B0D">
      <w:pPr>
        <w:numPr>
          <w:ilvl w:val="2"/>
          <w:numId w:val="24"/>
        </w:numPr>
        <w:pBdr>
          <w:top w:val="nil"/>
          <w:left w:val="nil"/>
          <w:bottom w:val="nil"/>
          <w:right w:val="nil"/>
          <w:between w:val="nil"/>
        </w:pBdr>
      </w:pPr>
      <w:r>
        <w:rPr>
          <w:color w:val="000000"/>
        </w:rPr>
        <w:t>the tests that the Supplier proposes to perform to confirm that the issue has been remedied or the finding addressed.</w:t>
      </w:r>
    </w:p>
    <w:p w:rsidR="005F4C24" w:rsidRDefault="004C2B0D">
      <w:pPr>
        <w:numPr>
          <w:ilvl w:val="1"/>
          <w:numId w:val="24"/>
        </w:numPr>
        <w:pBdr>
          <w:top w:val="nil"/>
          <w:left w:val="nil"/>
          <w:bottom w:val="nil"/>
          <w:right w:val="nil"/>
          <w:between w:val="nil"/>
        </w:pBdr>
      </w:pPr>
      <w:bookmarkStart w:id="134" w:name="_heading=h.thw4kt" w:colFirst="0" w:colLast="0"/>
      <w:bookmarkEnd w:id="134"/>
      <w:r>
        <w:rPr>
          <w:color w:val="000000"/>
        </w:rPr>
        <w:t>The Supplier shall promptly provide the Authority with such technical and other information relating to the draft Breach Action Plan as the Authority requests.</w:t>
      </w:r>
    </w:p>
    <w:p w:rsidR="005F4C24" w:rsidRDefault="004C2B0D">
      <w:pPr>
        <w:keepNext/>
        <w:numPr>
          <w:ilvl w:val="1"/>
          <w:numId w:val="5"/>
        </w:numPr>
        <w:pBdr>
          <w:top w:val="nil"/>
          <w:left w:val="nil"/>
          <w:bottom w:val="nil"/>
          <w:right w:val="nil"/>
          <w:between w:val="nil"/>
        </w:pBdr>
      </w:pPr>
      <w:bookmarkStart w:id="135" w:name="_heading=h.3dhjn8m" w:colFirst="0" w:colLast="0"/>
      <w:bookmarkEnd w:id="135"/>
      <w:r>
        <w:rPr>
          <w:color w:val="000000"/>
        </w:rPr>
        <w:t>The Authority may:</w:t>
      </w:r>
    </w:p>
    <w:p w:rsidR="005F4C24" w:rsidRDefault="004C2B0D">
      <w:pPr>
        <w:keepNext/>
        <w:numPr>
          <w:ilvl w:val="2"/>
          <w:numId w:val="24"/>
        </w:numPr>
        <w:pBdr>
          <w:top w:val="nil"/>
          <w:left w:val="nil"/>
          <w:bottom w:val="nil"/>
          <w:right w:val="nil"/>
          <w:between w:val="nil"/>
        </w:pBdr>
      </w:pPr>
      <w:r>
        <w:rPr>
          <w:color w:val="000000"/>
        </w:rPr>
        <w:t>reject the draft Breach Action Plan where it considers that the draft Breach Action Plan is inadequate, providing its reasons for doing so, in which case:</w:t>
      </w:r>
    </w:p>
    <w:p w:rsidR="005F4C24" w:rsidRDefault="004C2B0D">
      <w:pPr>
        <w:numPr>
          <w:ilvl w:val="3"/>
          <w:numId w:val="24"/>
        </w:numPr>
        <w:pBdr>
          <w:top w:val="nil"/>
          <w:left w:val="nil"/>
          <w:bottom w:val="nil"/>
          <w:right w:val="nil"/>
          <w:between w:val="nil"/>
        </w:pBdr>
      </w:pPr>
      <w:r>
        <w:rPr>
          <w:color w:val="000000"/>
        </w:rPr>
        <w:t xml:space="preserve">the Supplier shall within ten Working Days of the date on which the Authority rejected the draft Breach Action Plan submit a revised draft Breach Action Plan that </w:t>
      </w:r>
      <w:proofErr w:type="gramStart"/>
      <w:r>
        <w:rPr>
          <w:color w:val="000000"/>
        </w:rPr>
        <w:t>takes into account</w:t>
      </w:r>
      <w:proofErr w:type="gramEnd"/>
      <w:r>
        <w:rPr>
          <w:color w:val="000000"/>
        </w:rPr>
        <w:t xml:space="preserve"> the Authority’s reasons; and</w:t>
      </w:r>
    </w:p>
    <w:p w:rsidR="005F4C24" w:rsidRDefault="004C2B0D">
      <w:pPr>
        <w:numPr>
          <w:ilvl w:val="3"/>
          <w:numId w:val="5"/>
        </w:numPr>
        <w:pBdr>
          <w:top w:val="nil"/>
          <w:left w:val="nil"/>
          <w:bottom w:val="nil"/>
          <w:right w:val="nil"/>
          <w:between w:val="nil"/>
        </w:pBdr>
      </w:pPr>
      <w:r>
        <w:rPr>
          <w:color w:val="000000"/>
        </w:rPr>
        <w:t>paragraph 14.5 and 14.6 shall apply to the revised draft Breach Action Plan;</w:t>
      </w:r>
    </w:p>
    <w:p w:rsidR="005F4C24" w:rsidRDefault="004C2B0D">
      <w:pPr>
        <w:numPr>
          <w:ilvl w:val="2"/>
          <w:numId w:val="24"/>
        </w:numPr>
        <w:pBdr>
          <w:top w:val="nil"/>
          <w:left w:val="nil"/>
          <w:bottom w:val="nil"/>
          <w:right w:val="nil"/>
          <w:between w:val="nil"/>
        </w:pBdr>
      </w:pPr>
      <w:bookmarkStart w:id="136" w:name="_heading=h.1smtxgf" w:colFirst="0" w:colLast="0"/>
      <w:bookmarkEnd w:id="136"/>
      <w:r>
        <w:rPr>
          <w:color w:val="000000"/>
        </w:rPr>
        <w:t>accept the draft Breach Action Plan, in which case the Supplier must immediately start work on implementing the Breach Action Plan.</w:t>
      </w:r>
    </w:p>
    <w:p w:rsidR="005F4C24" w:rsidRDefault="004C2B0D">
      <w:pPr>
        <w:keepNext/>
        <w:pBdr>
          <w:top w:val="nil"/>
          <w:left w:val="nil"/>
          <w:bottom w:val="nil"/>
          <w:right w:val="nil"/>
          <w:between w:val="nil"/>
        </w:pBdr>
        <w:ind w:left="720"/>
        <w:rPr>
          <w:b/>
          <w:color w:val="000000"/>
        </w:rPr>
      </w:pPr>
      <w:r>
        <w:rPr>
          <w:b/>
          <w:color w:val="000000"/>
        </w:rPr>
        <w:t>Assistance to Authority</w:t>
      </w:r>
    </w:p>
    <w:p w:rsidR="005F4C24" w:rsidRDefault="004C2B0D">
      <w:pPr>
        <w:numPr>
          <w:ilvl w:val="1"/>
          <w:numId w:val="24"/>
        </w:numPr>
        <w:pBdr>
          <w:top w:val="nil"/>
          <w:left w:val="nil"/>
          <w:bottom w:val="nil"/>
          <w:right w:val="nil"/>
          <w:between w:val="nil"/>
        </w:pBdr>
      </w:pPr>
      <w:bookmarkStart w:id="137" w:name="_heading=h.4cmhg48" w:colFirst="0" w:colLast="0"/>
      <w:bookmarkEnd w:id="137"/>
      <w:r>
        <w:rPr>
          <w:color w:val="000000"/>
        </w:rPr>
        <w:t>Where the Breach of Security concerns or is connected with the Authority Data or the Code, the Supplier must provide such assistance to the Authority as the Authority requires until the Breach of Security and any impacts or potential impacts on the Authority are resolved to the Authority’s satisfaction.</w:t>
      </w:r>
    </w:p>
    <w:p w:rsidR="005F4C24" w:rsidRDefault="004C2B0D">
      <w:pPr>
        <w:keepNext/>
        <w:numPr>
          <w:ilvl w:val="1"/>
          <w:numId w:val="5"/>
        </w:numPr>
        <w:pBdr>
          <w:top w:val="nil"/>
          <w:left w:val="nil"/>
          <w:bottom w:val="nil"/>
          <w:right w:val="nil"/>
          <w:between w:val="nil"/>
        </w:pBdr>
      </w:pPr>
      <w:r>
        <w:rPr>
          <w:color w:val="000000"/>
        </w:rPr>
        <w:lastRenderedPageBreak/>
        <w:t xml:space="preserve">The obligation to </w:t>
      </w:r>
      <w:proofErr w:type="gramStart"/>
      <w:r>
        <w:rPr>
          <w:color w:val="000000"/>
        </w:rPr>
        <w:t>provide assistance</w:t>
      </w:r>
      <w:proofErr w:type="gramEnd"/>
      <w:r>
        <w:rPr>
          <w:color w:val="000000"/>
        </w:rPr>
        <w:t xml:space="preserve"> under paragraph 14.7 continues notwithstanding the expiry or termination of this Contract.</w:t>
      </w:r>
    </w:p>
    <w:p w:rsidR="005F4C24" w:rsidRDefault="004C2B0D">
      <w:pPr>
        <w:keepNext/>
        <w:pBdr>
          <w:top w:val="nil"/>
          <w:left w:val="nil"/>
          <w:bottom w:val="nil"/>
          <w:right w:val="nil"/>
          <w:between w:val="nil"/>
        </w:pBdr>
        <w:ind w:left="720"/>
        <w:rPr>
          <w:b/>
          <w:color w:val="000000"/>
        </w:rPr>
      </w:pPr>
      <w:r>
        <w:rPr>
          <w:b/>
          <w:color w:val="000000"/>
        </w:rPr>
        <w:t>Reporting of Breach of Security to regulator</w:t>
      </w:r>
    </w:p>
    <w:p w:rsidR="005F4C24" w:rsidRDefault="004C2B0D">
      <w:pPr>
        <w:keepNext/>
        <w:numPr>
          <w:ilvl w:val="1"/>
          <w:numId w:val="24"/>
        </w:numPr>
        <w:pBdr>
          <w:top w:val="nil"/>
          <w:left w:val="nil"/>
          <w:bottom w:val="nil"/>
          <w:right w:val="nil"/>
          <w:between w:val="nil"/>
        </w:pBdr>
      </w:pPr>
      <w:r>
        <w:rPr>
          <w:color w:val="000000"/>
        </w:rPr>
        <w:t>Where the Law requires the Supplier report a Breach of Security to the appropriate regulator, the Supplier must:</w:t>
      </w:r>
    </w:p>
    <w:p w:rsidR="005F4C24" w:rsidRDefault="004C2B0D">
      <w:pPr>
        <w:keepNext/>
        <w:numPr>
          <w:ilvl w:val="2"/>
          <w:numId w:val="24"/>
        </w:numPr>
        <w:pBdr>
          <w:top w:val="nil"/>
          <w:left w:val="nil"/>
          <w:bottom w:val="nil"/>
          <w:right w:val="nil"/>
          <w:between w:val="nil"/>
        </w:pBdr>
      </w:pPr>
      <w:r>
        <w:rPr>
          <w:color w:val="000000"/>
        </w:rPr>
        <w:t>make that report within the time limits:</w:t>
      </w:r>
    </w:p>
    <w:p w:rsidR="005F4C24" w:rsidRDefault="004C2B0D">
      <w:pPr>
        <w:numPr>
          <w:ilvl w:val="3"/>
          <w:numId w:val="24"/>
        </w:numPr>
        <w:pBdr>
          <w:top w:val="nil"/>
          <w:left w:val="nil"/>
          <w:bottom w:val="nil"/>
          <w:right w:val="nil"/>
          <w:between w:val="nil"/>
        </w:pBdr>
      </w:pPr>
      <w:r>
        <w:rPr>
          <w:color w:val="000000"/>
        </w:rPr>
        <w:t>specified by the relevant regulator; or</w:t>
      </w:r>
    </w:p>
    <w:p w:rsidR="005F4C24" w:rsidRDefault="004C2B0D">
      <w:pPr>
        <w:numPr>
          <w:ilvl w:val="3"/>
          <w:numId w:val="5"/>
        </w:numPr>
        <w:pBdr>
          <w:top w:val="nil"/>
          <w:left w:val="nil"/>
          <w:bottom w:val="nil"/>
          <w:right w:val="nil"/>
          <w:between w:val="nil"/>
        </w:pBdr>
      </w:pPr>
      <w:r>
        <w:rPr>
          <w:color w:val="000000"/>
        </w:rPr>
        <w:t>otherwise required by Law;</w:t>
      </w:r>
    </w:p>
    <w:p w:rsidR="005F4C24" w:rsidRDefault="004C2B0D">
      <w:pPr>
        <w:numPr>
          <w:ilvl w:val="2"/>
          <w:numId w:val="24"/>
        </w:numPr>
        <w:pBdr>
          <w:top w:val="nil"/>
          <w:left w:val="nil"/>
          <w:bottom w:val="nil"/>
          <w:right w:val="nil"/>
          <w:between w:val="nil"/>
        </w:pBdr>
      </w:pPr>
      <w:r>
        <w:rPr>
          <w:color w:val="000000"/>
        </w:rPr>
        <w:t>to the extent that the relevant regulator or the Law permits, provide the Authority with a full, unredacted and unedited copy of that report at the same time it is sent to the relevant regulator.</w:t>
      </w:r>
    </w:p>
    <w:p w:rsidR="005F4C24" w:rsidRDefault="004C2B0D">
      <w:pPr>
        <w:keepNext/>
        <w:numPr>
          <w:ilvl w:val="1"/>
          <w:numId w:val="24"/>
        </w:numPr>
        <w:pBdr>
          <w:top w:val="nil"/>
          <w:left w:val="nil"/>
          <w:bottom w:val="nil"/>
          <w:right w:val="nil"/>
          <w:between w:val="nil"/>
        </w:pBdr>
      </w:pPr>
      <w:r>
        <w:rPr>
          <w:color w:val="000000"/>
        </w:rPr>
        <w:t>Where the Law requires the Authority to report a Breach of Security to the appropriate regulator, the Supplier must:</w:t>
      </w:r>
    </w:p>
    <w:p w:rsidR="005F4C24" w:rsidRDefault="004C2B0D">
      <w:pPr>
        <w:numPr>
          <w:ilvl w:val="2"/>
          <w:numId w:val="24"/>
        </w:numPr>
        <w:pBdr>
          <w:top w:val="nil"/>
          <w:left w:val="nil"/>
          <w:bottom w:val="nil"/>
          <w:right w:val="nil"/>
          <w:between w:val="nil"/>
        </w:pBdr>
      </w:pPr>
      <w:r>
        <w:rPr>
          <w:color w:val="000000"/>
        </w:rPr>
        <w:t>provide such information and other input as the Authority requires within the timescales specified by the Authority;</w:t>
      </w:r>
    </w:p>
    <w:p w:rsidR="005F4C24" w:rsidRDefault="004C2B0D">
      <w:pPr>
        <w:numPr>
          <w:ilvl w:val="2"/>
          <w:numId w:val="5"/>
        </w:numPr>
        <w:pBdr>
          <w:top w:val="nil"/>
          <w:left w:val="nil"/>
          <w:bottom w:val="nil"/>
          <w:right w:val="nil"/>
          <w:between w:val="nil"/>
        </w:pBdr>
      </w:pPr>
      <w:r>
        <w:rPr>
          <w:color w:val="000000"/>
        </w:rPr>
        <w:t>ensure so far as practicable the report it sends to the relevant regulator is consistent with the report provided by the Authority.</w:t>
      </w:r>
    </w:p>
    <w:p w:rsidR="005F4C24" w:rsidRDefault="004C2B0D">
      <w:pPr>
        <w:keepNext/>
        <w:numPr>
          <w:ilvl w:val="0"/>
          <w:numId w:val="5"/>
        </w:numPr>
        <w:pBdr>
          <w:top w:val="nil"/>
          <w:left w:val="nil"/>
          <w:bottom w:val="nil"/>
          <w:right w:val="nil"/>
          <w:between w:val="nil"/>
        </w:pBdr>
        <w:spacing w:before="360"/>
      </w:pPr>
      <w:bookmarkStart w:id="138" w:name="_heading=h.2rrrqc1" w:colFirst="0" w:colLast="0"/>
      <w:bookmarkEnd w:id="138"/>
      <w:r>
        <w:rPr>
          <w:b/>
          <w:color w:val="000000"/>
          <w:sz w:val="24"/>
          <w:szCs w:val="24"/>
        </w:rPr>
        <w:t>Exit management</w:t>
      </w:r>
    </w:p>
    <w:p w:rsidR="005F4C24" w:rsidRDefault="004C2B0D">
      <w:pPr>
        <w:keepNext/>
        <w:numPr>
          <w:ilvl w:val="1"/>
          <w:numId w:val="24"/>
        </w:numPr>
        <w:pBdr>
          <w:top w:val="nil"/>
          <w:left w:val="nil"/>
          <w:bottom w:val="nil"/>
          <w:right w:val="nil"/>
          <w:between w:val="nil"/>
        </w:pBdr>
      </w:pPr>
      <w:bookmarkStart w:id="139" w:name="_heading=h.16x20ju" w:colFirst="0" w:colLast="0"/>
      <w:bookmarkEnd w:id="139"/>
      <w:r>
        <w:rPr>
          <w:color w:val="000000"/>
        </w:rPr>
        <w:t>In addition to any obligations on the Supplier under Schedule 25 (</w:t>
      </w:r>
      <w:r>
        <w:rPr>
          <w:i/>
          <w:color w:val="000000"/>
        </w:rPr>
        <w:t>Exit Management</w:t>
      </w:r>
      <w:r>
        <w:rPr>
          <w:color w:val="000000"/>
        </w:rPr>
        <w:t>) the Supplier must:</w:t>
      </w:r>
    </w:p>
    <w:p w:rsidR="005F4C24" w:rsidRDefault="004C2B0D">
      <w:pPr>
        <w:numPr>
          <w:ilvl w:val="2"/>
          <w:numId w:val="24"/>
        </w:numPr>
        <w:pBdr>
          <w:top w:val="nil"/>
          <w:left w:val="nil"/>
          <w:bottom w:val="nil"/>
          <w:right w:val="nil"/>
          <w:between w:val="nil"/>
        </w:pBdr>
      </w:pPr>
      <w:r>
        <w:rPr>
          <w:color w:val="000000"/>
        </w:rPr>
        <w:t>agree with the Authority and, where required by the Supplier, the Replacement Supplier; and</w:t>
      </w:r>
    </w:p>
    <w:p w:rsidR="005F4C24" w:rsidRDefault="004C2B0D">
      <w:pPr>
        <w:numPr>
          <w:ilvl w:val="2"/>
          <w:numId w:val="5"/>
        </w:numPr>
        <w:pBdr>
          <w:top w:val="nil"/>
          <w:left w:val="nil"/>
          <w:bottom w:val="nil"/>
          <w:right w:val="nil"/>
          <w:between w:val="nil"/>
        </w:pBdr>
      </w:pPr>
      <w:r>
        <w:rPr>
          <w:color w:val="000000"/>
        </w:rPr>
        <w:t>document as part of the Exit Plan,</w:t>
      </w:r>
    </w:p>
    <w:p w:rsidR="005F4C24" w:rsidRDefault="004C2B0D">
      <w:pPr>
        <w:pStyle w:val="Heading2"/>
        <w:ind w:firstLine="0"/>
        <w:jc w:val="both"/>
      </w:pPr>
      <w:r>
        <w:t>a plan for the migration of the Authority Data to the Authority and/or the Replacement Supplier (as required by the Authority) (</w:t>
      </w:r>
      <w:r>
        <w:rPr>
          <w:b/>
        </w:rPr>
        <w:t>Data Migration Plan</w:t>
      </w:r>
      <w:r>
        <w:t>).</w:t>
      </w:r>
    </w:p>
    <w:p w:rsidR="005F4C24" w:rsidRDefault="004C2B0D">
      <w:pPr>
        <w:keepNext/>
        <w:numPr>
          <w:ilvl w:val="1"/>
          <w:numId w:val="24"/>
        </w:numPr>
        <w:pBdr>
          <w:top w:val="nil"/>
          <w:left w:val="nil"/>
          <w:bottom w:val="nil"/>
          <w:right w:val="nil"/>
          <w:between w:val="nil"/>
        </w:pBdr>
      </w:pPr>
      <w:r>
        <w:rPr>
          <w:color w:val="000000"/>
        </w:rPr>
        <w:t>The Data Migration Plan must, at a minimum, include:</w:t>
      </w:r>
    </w:p>
    <w:p w:rsidR="005F4C24" w:rsidRDefault="004C2B0D">
      <w:pPr>
        <w:numPr>
          <w:ilvl w:val="2"/>
          <w:numId w:val="24"/>
        </w:numPr>
        <w:pBdr>
          <w:top w:val="nil"/>
          <w:left w:val="nil"/>
          <w:bottom w:val="nil"/>
          <w:right w:val="nil"/>
          <w:between w:val="nil"/>
        </w:pBdr>
      </w:pPr>
      <w:r>
        <w:rPr>
          <w:color w:val="000000"/>
        </w:rPr>
        <w:t>the data formats of the Authority Data;</w:t>
      </w:r>
    </w:p>
    <w:p w:rsidR="005F4C24" w:rsidRDefault="004C2B0D">
      <w:pPr>
        <w:numPr>
          <w:ilvl w:val="2"/>
          <w:numId w:val="5"/>
        </w:numPr>
        <w:pBdr>
          <w:top w:val="nil"/>
          <w:left w:val="nil"/>
          <w:bottom w:val="nil"/>
          <w:right w:val="nil"/>
          <w:between w:val="nil"/>
        </w:pBdr>
      </w:pPr>
      <w:r>
        <w:rPr>
          <w:color w:val="000000"/>
        </w:rPr>
        <w:t>the roles and responsibilities of the Supplier, the Authority and (where applicable) the Replacement Supplier;</w:t>
      </w:r>
    </w:p>
    <w:p w:rsidR="005F4C24" w:rsidRDefault="004C2B0D">
      <w:pPr>
        <w:numPr>
          <w:ilvl w:val="2"/>
          <w:numId w:val="24"/>
        </w:numPr>
        <w:pBdr>
          <w:top w:val="nil"/>
          <w:left w:val="nil"/>
          <w:bottom w:val="nil"/>
          <w:right w:val="nil"/>
          <w:between w:val="nil"/>
        </w:pBdr>
      </w:pPr>
      <w:r>
        <w:rPr>
          <w:color w:val="000000"/>
        </w:rPr>
        <w:t>the methods to be used to securely transfer the data;</w:t>
      </w:r>
    </w:p>
    <w:p w:rsidR="005F4C24" w:rsidRDefault="004C2B0D">
      <w:pPr>
        <w:numPr>
          <w:ilvl w:val="2"/>
          <w:numId w:val="5"/>
        </w:numPr>
        <w:pBdr>
          <w:top w:val="nil"/>
          <w:left w:val="nil"/>
          <w:bottom w:val="nil"/>
          <w:right w:val="nil"/>
          <w:between w:val="nil"/>
        </w:pBdr>
      </w:pPr>
      <w:r>
        <w:rPr>
          <w:color w:val="000000"/>
        </w:rPr>
        <w:t>the timescales for the completion of all tasks and activities set out in the Data Migration Plan; and</w:t>
      </w:r>
    </w:p>
    <w:p w:rsidR="005F4C24" w:rsidRDefault="004C2B0D">
      <w:pPr>
        <w:numPr>
          <w:ilvl w:val="2"/>
          <w:numId w:val="24"/>
        </w:numPr>
        <w:pBdr>
          <w:top w:val="nil"/>
          <w:left w:val="nil"/>
          <w:bottom w:val="nil"/>
          <w:right w:val="nil"/>
          <w:between w:val="nil"/>
        </w:pBdr>
      </w:pPr>
      <w:r>
        <w:rPr>
          <w:color w:val="000000"/>
        </w:rPr>
        <w:t>how data migration will be managed to ensure continuity of Services and the integrity, confidentiality and accessibility of the Authority Data during that process.</w:t>
      </w:r>
    </w:p>
    <w:p w:rsidR="005F4C24" w:rsidRDefault="004C2B0D">
      <w:pPr>
        <w:numPr>
          <w:ilvl w:val="1"/>
          <w:numId w:val="24"/>
        </w:numPr>
        <w:pBdr>
          <w:top w:val="nil"/>
          <w:left w:val="nil"/>
          <w:bottom w:val="nil"/>
          <w:right w:val="nil"/>
          <w:between w:val="nil"/>
        </w:pBdr>
      </w:pPr>
      <w:r>
        <w:rPr>
          <w:color w:val="000000"/>
        </w:rPr>
        <w:t xml:space="preserve">The Supplier shall comply with the provisions of the Data Migration Plan during Exit Management. </w:t>
      </w:r>
    </w:p>
    <w:p w:rsidR="005F4C24" w:rsidRDefault="004C2B0D">
      <w:pPr>
        <w:keepNext/>
        <w:numPr>
          <w:ilvl w:val="0"/>
          <w:numId w:val="5"/>
        </w:numPr>
        <w:pBdr>
          <w:top w:val="nil"/>
          <w:left w:val="nil"/>
          <w:bottom w:val="nil"/>
          <w:right w:val="nil"/>
          <w:between w:val="nil"/>
        </w:pBdr>
        <w:spacing w:before="360"/>
      </w:pPr>
      <w:bookmarkStart w:id="140" w:name="_heading=h.3qwpj7n" w:colFirst="0" w:colLast="0"/>
      <w:bookmarkEnd w:id="140"/>
      <w:r>
        <w:rPr>
          <w:b/>
          <w:color w:val="000000"/>
          <w:sz w:val="24"/>
          <w:szCs w:val="24"/>
        </w:rPr>
        <w:lastRenderedPageBreak/>
        <w:t>Return and deletion of Authority Data</w:t>
      </w:r>
    </w:p>
    <w:p w:rsidR="005F4C24" w:rsidRDefault="004C2B0D">
      <w:pPr>
        <w:keepNext/>
        <w:numPr>
          <w:ilvl w:val="1"/>
          <w:numId w:val="24"/>
        </w:numPr>
        <w:pBdr>
          <w:top w:val="nil"/>
          <w:left w:val="nil"/>
          <w:bottom w:val="nil"/>
          <w:right w:val="nil"/>
          <w:between w:val="nil"/>
        </w:pBdr>
      </w:pPr>
      <w:r>
        <w:rPr>
          <w:color w:val="000000"/>
        </w:rPr>
        <w:t>The Supplier must create and maintain a register of:</w:t>
      </w:r>
    </w:p>
    <w:p w:rsidR="005F4C24" w:rsidRDefault="004C2B0D">
      <w:pPr>
        <w:numPr>
          <w:ilvl w:val="2"/>
          <w:numId w:val="24"/>
        </w:numPr>
        <w:pBdr>
          <w:top w:val="nil"/>
          <w:left w:val="nil"/>
          <w:bottom w:val="nil"/>
          <w:right w:val="nil"/>
          <w:between w:val="nil"/>
        </w:pBdr>
      </w:pPr>
      <w:r>
        <w:rPr>
          <w:color w:val="000000"/>
        </w:rPr>
        <w:t>all Authority Data the Supplier, or any Sub-contractor, receives from or creates for the Authority; and</w:t>
      </w:r>
    </w:p>
    <w:p w:rsidR="005F4C24" w:rsidRDefault="004C2B0D">
      <w:pPr>
        <w:numPr>
          <w:ilvl w:val="2"/>
          <w:numId w:val="5"/>
        </w:numPr>
        <w:pBdr>
          <w:top w:val="nil"/>
          <w:left w:val="nil"/>
          <w:bottom w:val="nil"/>
          <w:right w:val="nil"/>
          <w:between w:val="nil"/>
        </w:pBdr>
      </w:pPr>
      <w:r>
        <w:rPr>
          <w:color w:val="000000"/>
        </w:rPr>
        <w:t>those parts of the Supplier Information Management System, including those parts of the Supplier Information Management System that are operated or controlled by any Sub-contractor, on which the Authority Data is stored,</w:t>
      </w:r>
    </w:p>
    <w:p w:rsidR="005F4C24" w:rsidRDefault="004C2B0D">
      <w:pPr>
        <w:pStyle w:val="Heading3"/>
        <w:ind w:left="720" w:firstLine="720"/>
        <w:jc w:val="both"/>
      </w:pPr>
      <w:r>
        <w:t>(</w:t>
      </w:r>
      <w:r>
        <w:rPr>
          <w:b/>
        </w:rPr>
        <w:t>Authority Data Register</w:t>
      </w:r>
      <w:r>
        <w:t>).</w:t>
      </w:r>
    </w:p>
    <w:p w:rsidR="005F4C24" w:rsidRDefault="004C2B0D">
      <w:pPr>
        <w:keepNext/>
        <w:numPr>
          <w:ilvl w:val="1"/>
          <w:numId w:val="24"/>
        </w:numPr>
        <w:pBdr>
          <w:top w:val="nil"/>
          <w:left w:val="nil"/>
          <w:bottom w:val="nil"/>
          <w:right w:val="nil"/>
          <w:between w:val="nil"/>
        </w:pBdr>
      </w:pPr>
      <w:r>
        <w:rPr>
          <w:color w:val="000000"/>
        </w:rPr>
        <w:t>The Supplier must:</w:t>
      </w:r>
    </w:p>
    <w:p w:rsidR="005F4C24" w:rsidRDefault="004C2B0D">
      <w:pPr>
        <w:keepNext/>
        <w:numPr>
          <w:ilvl w:val="2"/>
          <w:numId w:val="24"/>
        </w:numPr>
        <w:pBdr>
          <w:top w:val="nil"/>
          <w:left w:val="nil"/>
          <w:bottom w:val="nil"/>
          <w:right w:val="nil"/>
          <w:between w:val="nil"/>
        </w:pBdr>
      </w:pPr>
      <w:r>
        <w:rPr>
          <w:color w:val="000000"/>
        </w:rPr>
        <w:t>review and update the Authority Data Register:</w:t>
      </w:r>
    </w:p>
    <w:p w:rsidR="005F4C24" w:rsidRDefault="004C2B0D">
      <w:pPr>
        <w:numPr>
          <w:ilvl w:val="3"/>
          <w:numId w:val="24"/>
        </w:numPr>
        <w:pBdr>
          <w:top w:val="nil"/>
          <w:left w:val="nil"/>
          <w:bottom w:val="nil"/>
          <w:right w:val="nil"/>
          <w:between w:val="nil"/>
        </w:pBdr>
      </w:pPr>
      <w:r>
        <w:rPr>
          <w:color w:val="000000"/>
        </w:rPr>
        <w:t>within ten Working Days of the Supplier or any Sub-contractor changes those parts of the Supplier Information Management System on which the Authority Data is stored;</w:t>
      </w:r>
    </w:p>
    <w:p w:rsidR="005F4C24" w:rsidRDefault="004C2B0D">
      <w:pPr>
        <w:numPr>
          <w:ilvl w:val="3"/>
          <w:numId w:val="5"/>
        </w:numPr>
        <w:pBdr>
          <w:top w:val="nil"/>
          <w:left w:val="nil"/>
          <w:bottom w:val="nil"/>
          <w:right w:val="nil"/>
          <w:between w:val="nil"/>
        </w:pBdr>
      </w:pPr>
      <w:r>
        <w:rPr>
          <w:color w:val="000000"/>
        </w:rPr>
        <w:t>within ten Working Days of a significant change in the volume, nature or overall sensitivity of the Authority Data stored on the Supplier Information Management System;</w:t>
      </w:r>
    </w:p>
    <w:p w:rsidR="005F4C24" w:rsidRDefault="004C2B0D">
      <w:pPr>
        <w:numPr>
          <w:ilvl w:val="3"/>
          <w:numId w:val="24"/>
        </w:numPr>
        <w:pBdr>
          <w:top w:val="nil"/>
          <w:left w:val="nil"/>
          <w:bottom w:val="nil"/>
          <w:right w:val="nil"/>
          <w:between w:val="nil"/>
        </w:pBdr>
      </w:pPr>
      <w:r>
        <w:rPr>
          <w:color w:val="000000"/>
        </w:rPr>
        <w:t>at least once every 12 months; and</w:t>
      </w:r>
    </w:p>
    <w:p w:rsidR="005F4C24" w:rsidRDefault="004C2B0D">
      <w:pPr>
        <w:keepNext/>
        <w:numPr>
          <w:ilvl w:val="2"/>
          <w:numId w:val="24"/>
        </w:numPr>
        <w:pBdr>
          <w:top w:val="nil"/>
          <w:left w:val="nil"/>
          <w:bottom w:val="nil"/>
          <w:right w:val="nil"/>
          <w:between w:val="nil"/>
        </w:pBdr>
      </w:pPr>
      <w:r>
        <w:rPr>
          <w:color w:val="000000"/>
        </w:rPr>
        <w:t>provide the Authority with a copy of the Authority Data Register:</w:t>
      </w:r>
    </w:p>
    <w:p w:rsidR="005F4C24" w:rsidRDefault="004C2B0D">
      <w:pPr>
        <w:numPr>
          <w:ilvl w:val="3"/>
          <w:numId w:val="24"/>
        </w:numPr>
        <w:pBdr>
          <w:top w:val="nil"/>
          <w:left w:val="nil"/>
          <w:bottom w:val="nil"/>
          <w:right w:val="nil"/>
          <w:between w:val="nil"/>
        </w:pBdr>
      </w:pPr>
      <w:r>
        <w:rPr>
          <w:color w:val="000000"/>
        </w:rPr>
        <w:t>whenever it updates the Authority Data Register; and</w:t>
      </w:r>
    </w:p>
    <w:p w:rsidR="005F4C24" w:rsidRDefault="004C2B0D">
      <w:pPr>
        <w:numPr>
          <w:ilvl w:val="3"/>
          <w:numId w:val="5"/>
        </w:numPr>
        <w:pBdr>
          <w:top w:val="nil"/>
          <w:left w:val="nil"/>
          <w:bottom w:val="nil"/>
          <w:right w:val="nil"/>
          <w:between w:val="nil"/>
        </w:pBdr>
      </w:pPr>
      <w:r>
        <w:rPr>
          <w:color w:val="000000"/>
        </w:rPr>
        <w:t>otherwise when the Authority requests.</w:t>
      </w:r>
    </w:p>
    <w:p w:rsidR="005F4C24" w:rsidRDefault="004C2B0D">
      <w:pPr>
        <w:keepNext/>
        <w:numPr>
          <w:ilvl w:val="1"/>
          <w:numId w:val="24"/>
        </w:numPr>
        <w:pBdr>
          <w:top w:val="nil"/>
          <w:left w:val="nil"/>
          <w:bottom w:val="nil"/>
          <w:right w:val="nil"/>
          <w:between w:val="nil"/>
        </w:pBdr>
      </w:pPr>
      <w:r>
        <w:rPr>
          <w:color w:val="000000"/>
        </w:rPr>
        <w:t>The Supplier must, and must ensure that all Sub-contractors, securely erase any or all Authority Data held by the Supplier or Sub-contractor, including any or all Code:</w:t>
      </w:r>
    </w:p>
    <w:p w:rsidR="005F4C24" w:rsidRDefault="004C2B0D">
      <w:pPr>
        <w:numPr>
          <w:ilvl w:val="2"/>
          <w:numId w:val="24"/>
        </w:numPr>
        <w:pBdr>
          <w:top w:val="nil"/>
          <w:left w:val="nil"/>
          <w:bottom w:val="nil"/>
          <w:right w:val="nil"/>
          <w:between w:val="nil"/>
        </w:pBdr>
      </w:pPr>
      <w:r>
        <w:rPr>
          <w:color w:val="000000"/>
        </w:rPr>
        <w:t>when requested to do so by the Authority; and</w:t>
      </w:r>
    </w:p>
    <w:p w:rsidR="005F4C24" w:rsidRDefault="004C2B0D">
      <w:pPr>
        <w:numPr>
          <w:ilvl w:val="2"/>
          <w:numId w:val="5"/>
        </w:numPr>
        <w:pBdr>
          <w:top w:val="nil"/>
          <w:left w:val="nil"/>
          <w:bottom w:val="nil"/>
          <w:right w:val="nil"/>
          <w:between w:val="nil"/>
        </w:pBdr>
      </w:pPr>
      <w:r>
        <w:rPr>
          <w:color w:val="000000"/>
        </w:rPr>
        <w:t>using a deletion method agreed with the Authority that ensures that even a determined expert using specialist techniques can recover only a small fraction of the data deleted.</w:t>
      </w:r>
    </w:p>
    <w:p w:rsidR="005F4C24" w:rsidRDefault="004C2B0D">
      <w:pPr>
        <w:keepNext/>
        <w:numPr>
          <w:ilvl w:val="1"/>
          <w:numId w:val="24"/>
        </w:numPr>
        <w:pBdr>
          <w:top w:val="nil"/>
          <w:left w:val="nil"/>
          <w:bottom w:val="nil"/>
          <w:right w:val="nil"/>
          <w:between w:val="nil"/>
        </w:pBdr>
      </w:pPr>
      <w:r>
        <w:rPr>
          <w:color w:val="000000"/>
        </w:rPr>
        <w:t>The Supplier must, and must ensure that all Sub-contractors, provide the Authority with copies of any or all Authority Data held by the Supplier or Sub-contractor, including any or all Code:</w:t>
      </w:r>
    </w:p>
    <w:p w:rsidR="005F4C24" w:rsidRDefault="004C2B0D">
      <w:pPr>
        <w:numPr>
          <w:ilvl w:val="2"/>
          <w:numId w:val="24"/>
        </w:numPr>
        <w:pBdr>
          <w:top w:val="nil"/>
          <w:left w:val="nil"/>
          <w:bottom w:val="nil"/>
          <w:right w:val="nil"/>
          <w:between w:val="nil"/>
        </w:pBdr>
      </w:pPr>
      <w:r>
        <w:rPr>
          <w:color w:val="000000"/>
        </w:rPr>
        <w:t>when requested to do so by the Authority; and</w:t>
      </w:r>
    </w:p>
    <w:p w:rsidR="005F4C24" w:rsidRDefault="004C2B0D">
      <w:pPr>
        <w:numPr>
          <w:ilvl w:val="2"/>
          <w:numId w:val="5"/>
        </w:numPr>
        <w:pBdr>
          <w:top w:val="nil"/>
          <w:left w:val="nil"/>
          <w:bottom w:val="nil"/>
          <w:right w:val="nil"/>
          <w:between w:val="nil"/>
        </w:pBdr>
        <w:sectPr w:rsidR="005F4C24">
          <w:headerReference w:type="even" r:id="rId21"/>
          <w:headerReference w:type="default" r:id="rId22"/>
          <w:footerReference w:type="even" r:id="rId23"/>
          <w:footerReference w:type="default" r:id="rId24"/>
          <w:headerReference w:type="first" r:id="rId25"/>
          <w:footerReference w:type="first" r:id="rId26"/>
          <w:pgSz w:w="11906" w:h="16838"/>
          <w:pgMar w:top="1440" w:right="1440" w:bottom="1797" w:left="1440" w:header="720" w:footer="720" w:gutter="0"/>
          <w:pgNumType w:start="1"/>
          <w:cols w:space="720"/>
        </w:sectPr>
      </w:pPr>
      <w:r>
        <w:rPr>
          <w:color w:val="000000"/>
        </w:rPr>
        <w:t>using the method specified by the Authority.</w:t>
      </w:r>
    </w:p>
    <w:p w:rsidR="005F4C24" w:rsidRDefault="004C2B0D">
      <w:pPr>
        <w:keepNext/>
        <w:numPr>
          <w:ilvl w:val="0"/>
          <w:numId w:val="36"/>
        </w:numPr>
        <w:pBdr>
          <w:top w:val="nil"/>
          <w:left w:val="nil"/>
          <w:bottom w:val="nil"/>
          <w:right w:val="nil"/>
          <w:between w:val="nil"/>
        </w:pBdr>
      </w:pPr>
      <w:bookmarkStart w:id="141" w:name="_heading=h.261ztfg" w:colFirst="0" w:colLast="0"/>
      <w:bookmarkEnd w:id="141"/>
      <w:r>
        <w:rPr>
          <w:color w:val="000000"/>
          <w:sz w:val="28"/>
          <w:szCs w:val="28"/>
        </w:rPr>
        <w:lastRenderedPageBreak/>
        <w:t>Security Requirements for Development</w:t>
      </w:r>
    </w:p>
    <w:p w:rsidR="005F4C24" w:rsidRDefault="004C2B0D">
      <w:pPr>
        <w:keepNext/>
        <w:numPr>
          <w:ilvl w:val="0"/>
          <w:numId w:val="30"/>
        </w:numPr>
        <w:pBdr>
          <w:top w:val="nil"/>
          <w:left w:val="nil"/>
          <w:bottom w:val="nil"/>
          <w:right w:val="nil"/>
          <w:between w:val="nil"/>
        </w:pBdr>
        <w:spacing w:before="360"/>
      </w:pPr>
      <w:bookmarkStart w:id="142" w:name="_heading=h.l7a3n9" w:colFirst="0" w:colLast="0"/>
      <w:bookmarkEnd w:id="142"/>
      <w:r>
        <w:rPr>
          <w:b/>
          <w:color w:val="000000"/>
          <w:sz w:val="24"/>
          <w:szCs w:val="24"/>
        </w:rPr>
        <w:t>Secure Software Development by Design</w:t>
      </w:r>
    </w:p>
    <w:p w:rsidR="005F4C24" w:rsidRDefault="004C2B0D">
      <w:pPr>
        <w:keepNext/>
        <w:numPr>
          <w:ilvl w:val="1"/>
          <w:numId w:val="30"/>
        </w:numPr>
        <w:pBdr>
          <w:top w:val="nil"/>
          <w:left w:val="nil"/>
          <w:bottom w:val="nil"/>
          <w:right w:val="nil"/>
          <w:between w:val="nil"/>
        </w:pBdr>
      </w:pPr>
      <w:r>
        <w:rPr>
          <w:color w:val="000000"/>
        </w:rPr>
        <w:t>The Supplier must, and must ensure that all Sub-contractors engaged in Development Activity, implement secure development and deployment practices to ensure that:</w:t>
      </w:r>
    </w:p>
    <w:p w:rsidR="005F4C24" w:rsidRDefault="004C2B0D">
      <w:pPr>
        <w:numPr>
          <w:ilvl w:val="2"/>
          <w:numId w:val="30"/>
        </w:numPr>
        <w:pBdr>
          <w:top w:val="nil"/>
          <w:left w:val="nil"/>
          <w:bottom w:val="nil"/>
          <w:right w:val="nil"/>
          <w:between w:val="nil"/>
        </w:pBdr>
      </w:pPr>
      <w:r>
        <w:rPr>
          <w:color w:val="000000"/>
        </w:rPr>
        <w:t>no malicious code is introduced into the Developed System or the Supplier Information Management System.</w:t>
      </w:r>
    </w:p>
    <w:p w:rsidR="005F4C24" w:rsidRDefault="004C2B0D">
      <w:pPr>
        <w:keepNext/>
        <w:numPr>
          <w:ilvl w:val="2"/>
          <w:numId w:val="30"/>
        </w:numPr>
        <w:pBdr>
          <w:top w:val="nil"/>
          <w:left w:val="nil"/>
          <w:bottom w:val="nil"/>
          <w:right w:val="nil"/>
          <w:between w:val="nil"/>
        </w:pBdr>
      </w:pPr>
      <w:r>
        <w:rPr>
          <w:color w:val="000000"/>
        </w:rPr>
        <w:t>the Developed System can continue to function in accordance with the Specification:</w:t>
      </w:r>
    </w:p>
    <w:p w:rsidR="005F4C24" w:rsidRDefault="004C2B0D">
      <w:pPr>
        <w:numPr>
          <w:ilvl w:val="3"/>
          <w:numId w:val="30"/>
        </w:numPr>
        <w:pBdr>
          <w:top w:val="nil"/>
          <w:left w:val="nil"/>
          <w:bottom w:val="nil"/>
          <w:right w:val="nil"/>
          <w:between w:val="nil"/>
        </w:pBdr>
      </w:pPr>
      <w:r>
        <w:rPr>
          <w:color w:val="000000"/>
        </w:rPr>
        <w:t>in unforeseen circumstances; and</w:t>
      </w:r>
    </w:p>
    <w:p w:rsidR="005F4C24" w:rsidRDefault="004C2B0D">
      <w:pPr>
        <w:numPr>
          <w:ilvl w:val="3"/>
          <w:numId w:val="30"/>
        </w:numPr>
        <w:pBdr>
          <w:top w:val="nil"/>
          <w:left w:val="nil"/>
          <w:bottom w:val="nil"/>
          <w:right w:val="nil"/>
          <w:between w:val="nil"/>
        </w:pBdr>
      </w:pPr>
      <w:r>
        <w:rPr>
          <w:color w:val="000000"/>
        </w:rPr>
        <w:t>notwithstanding any attack on the Developed System using common cyber-attack techniques, including attacks using those vulnerabilities identified at any time in the OWASP Top Ten.</w:t>
      </w:r>
    </w:p>
    <w:p w:rsidR="005F4C24" w:rsidRDefault="004C2B0D">
      <w:pPr>
        <w:keepNext/>
        <w:numPr>
          <w:ilvl w:val="1"/>
          <w:numId w:val="30"/>
        </w:numPr>
        <w:pBdr>
          <w:top w:val="nil"/>
          <w:left w:val="nil"/>
          <w:bottom w:val="nil"/>
          <w:right w:val="nil"/>
          <w:between w:val="nil"/>
        </w:pBdr>
      </w:pPr>
      <w:r>
        <w:rPr>
          <w:color w:val="000000"/>
        </w:rPr>
        <w:t>To those ends, the Supplier must, and ensure that all Sub-contractors engaged in Development Activity:</w:t>
      </w:r>
    </w:p>
    <w:p w:rsidR="005F4C24" w:rsidRDefault="004C2B0D">
      <w:pPr>
        <w:numPr>
          <w:ilvl w:val="2"/>
          <w:numId w:val="30"/>
        </w:numPr>
        <w:pBdr>
          <w:top w:val="nil"/>
          <w:left w:val="nil"/>
          <w:bottom w:val="nil"/>
          <w:right w:val="nil"/>
          <w:between w:val="nil"/>
        </w:pBdr>
      </w:pPr>
      <w:r>
        <w:rPr>
          <w:color w:val="000000"/>
        </w:rPr>
        <w:t>comply with the Secure Development Guidance as if its requirements were terms of this Contract; and</w:t>
      </w:r>
    </w:p>
    <w:p w:rsidR="005F4C24" w:rsidRDefault="004C2B0D">
      <w:pPr>
        <w:numPr>
          <w:ilvl w:val="2"/>
          <w:numId w:val="30"/>
        </w:numPr>
        <w:pBdr>
          <w:top w:val="nil"/>
          <w:left w:val="nil"/>
          <w:bottom w:val="nil"/>
          <w:right w:val="nil"/>
          <w:between w:val="nil"/>
        </w:pBdr>
      </w:pPr>
      <w:r>
        <w:rPr>
          <w:color w:val="000000"/>
        </w:rPr>
        <w:t>document the steps taken to comply with that guidance as part of the Security Management Plan.</w:t>
      </w:r>
    </w:p>
    <w:p w:rsidR="005F4C24" w:rsidRDefault="004C2B0D">
      <w:pPr>
        <w:keepNext/>
        <w:numPr>
          <w:ilvl w:val="1"/>
          <w:numId w:val="30"/>
        </w:numPr>
        <w:pBdr>
          <w:top w:val="nil"/>
          <w:left w:val="nil"/>
          <w:bottom w:val="nil"/>
          <w:right w:val="nil"/>
          <w:between w:val="nil"/>
        </w:pBdr>
      </w:pPr>
      <w:r>
        <w:rPr>
          <w:color w:val="000000"/>
        </w:rPr>
        <w:t>In particular, the Supplier must, and ensure that all Sub-contractors engaged in Development Activity:</w:t>
      </w:r>
    </w:p>
    <w:p w:rsidR="005F4C24" w:rsidRDefault="004C2B0D">
      <w:pPr>
        <w:keepNext/>
        <w:numPr>
          <w:ilvl w:val="2"/>
          <w:numId w:val="30"/>
        </w:numPr>
        <w:pBdr>
          <w:top w:val="nil"/>
          <w:left w:val="nil"/>
          <w:bottom w:val="nil"/>
          <w:right w:val="nil"/>
          <w:between w:val="nil"/>
        </w:pBdr>
      </w:pPr>
      <w:r>
        <w:rPr>
          <w:color w:val="000000"/>
        </w:rPr>
        <w:t>ensure that all Supplier Staff engaged in Development Activity are:</w:t>
      </w:r>
    </w:p>
    <w:p w:rsidR="005F4C24" w:rsidRDefault="004C2B0D">
      <w:pPr>
        <w:numPr>
          <w:ilvl w:val="3"/>
          <w:numId w:val="30"/>
        </w:numPr>
        <w:pBdr>
          <w:top w:val="nil"/>
          <w:left w:val="nil"/>
          <w:bottom w:val="nil"/>
          <w:right w:val="nil"/>
          <w:between w:val="nil"/>
        </w:pBdr>
      </w:pPr>
      <w:r>
        <w:rPr>
          <w:color w:val="000000"/>
        </w:rPr>
        <w:t>trained and experienced in secure by design code development;</w:t>
      </w:r>
    </w:p>
    <w:p w:rsidR="005F4C24" w:rsidRDefault="004C2B0D">
      <w:pPr>
        <w:numPr>
          <w:ilvl w:val="3"/>
          <w:numId w:val="30"/>
        </w:numPr>
        <w:pBdr>
          <w:top w:val="nil"/>
          <w:left w:val="nil"/>
          <w:bottom w:val="nil"/>
          <w:right w:val="nil"/>
          <w:between w:val="nil"/>
        </w:pBdr>
      </w:pPr>
      <w:r>
        <w:rPr>
          <w:color w:val="000000"/>
        </w:rPr>
        <w:t>provided with regular training in secure software development and deployment;</w:t>
      </w:r>
    </w:p>
    <w:p w:rsidR="005F4C24" w:rsidRDefault="004C2B0D">
      <w:pPr>
        <w:keepNext/>
        <w:numPr>
          <w:ilvl w:val="2"/>
          <w:numId w:val="30"/>
        </w:numPr>
        <w:pBdr>
          <w:top w:val="nil"/>
          <w:left w:val="nil"/>
          <w:bottom w:val="nil"/>
          <w:right w:val="nil"/>
          <w:between w:val="nil"/>
        </w:pBdr>
      </w:pPr>
      <w:r>
        <w:rPr>
          <w:color w:val="000000"/>
        </w:rPr>
        <w:t>ensure that all Code:</w:t>
      </w:r>
    </w:p>
    <w:p w:rsidR="005F4C24" w:rsidRDefault="004C2B0D">
      <w:pPr>
        <w:numPr>
          <w:ilvl w:val="3"/>
          <w:numId w:val="30"/>
        </w:numPr>
        <w:pBdr>
          <w:top w:val="nil"/>
          <w:left w:val="nil"/>
          <w:bottom w:val="nil"/>
          <w:right w:val="nil"/>
          <w:between w:val="nil"/>
        </w:pBdr>
      </w:pPr>
      <w:r>
        <w:rPr>
          <w:color w:val="000000"/>
        </w:rPr>
        <w:t>is subject to a clear, well-organised, logical and documented architecture;</w:t>
      </w:r>
    </w:p>
    <w:p w:rsidR="005F4C24" w:rsidRDefault="004C2B0D">
      <w:pPr>
        <w:numPr>
          <w:ilvl w:val="3"/>
          <w:numId w:val="30"/>
        </w:numPr>
        <w:pBdr>
          <w:top w:val="nil"/>
          <w:left w:val="nil"/>
          <w:bottom w:val="nil"/>
          <w:right w:val="nil"/>
          <w:between w:val="nil"/>
        </w:pBdr>
      </w:pPr>
      <w:r>
        <w:rPr>
          <w:color w:val="000000"/>
        </w:rPr>
        <w:t>follows OWASP Secure Coding Practice</w:t>
      </w:r>
    </w:p>
    <w:p w:rsidR="005F4C24" w:rsidRDefault="004C2B0D">
      <w:pPr>
        <w:numPr>
          <w:ilvl w:val="3"/>
          <w:numId w:val="30"/>
        </w:numPr>
        <w:pBdr>
          <w:top w:val="nil"/>
          <w:left w:val="nil"/>
          <w:bottom w:val="nil"/>
          <w:right w:val="nil"/>
          <w:between w:val="nil"/>
        </w:pBdr>
      </w:pPr>
      <w:r>
        <w:rPr>
          <w:color w:val="000000"/>
        </w:rPr>
        <w:t>follows recognised secure coding standard, where one is available;</w:t>
      </w:r>
    </w:p>
    <w:p w:rsidR="005F4C24" w:rsidRDefault="004C2B0D">
      <w:pPr>
        <w:numPr>
          <w:ilvl w:val="3"/>
          <w:numId w:val="30"/>
        </w:numPr>
        <w:pBdr>
          <w:top w:val="nil"/>
          <w:left w:val="nil"/>
          <w:bottom w:val="nil"/>
          <w:right w:val="nil"/>
          <w:between w:val="nil"/>
        </w:pBdr>
      </w:pPr>
      <w:r>
        <w:rPr>
          <w:color w:val="000000"/>
        </w:rPr>
        <w:t>employs consistent naming conventions;</w:t>
      </w:r>
    </w:p>
    <w:p w:rsidR="005F4C24" w:rsidRDefault="004C2B0D">
      <w:pPr>
        <w:numPr>
          <w:ilvl w:val="3"/>
          <w:numId w:val="30"/>
        </w:numPr>
        <w:pBdr>
          <w:top w:val="nil"/>
          <w:left w:val="nil"/>
          <w:bottom w:val="nil"/>
          <w:right w:val="nil"/>
          <w:between w:val="nil"/>
        </w:pBdr>
      </w:pPr>
      <w:r>
        <w:rPr>
          <w:color w:val="000000"/>
        </w:rPr>
        <w:t>is coded in a consistent manner and style;</w:t>
      </w:r>
    </w:p>
    <w:p w:rsidR="005F4C24" w:rsidRDefault="004C2B0D">
      <w:pPr>
        <w:numPr>
          <w:ilvl w:val="3"/>
          <w:numId w:val="30"/>
        </w:numPr>
        <w:pBdr>
          <w:top w:val="nil"/>
          <w:left w:val="nil"/>
          <w:bottom w:val="nil"/>
          <w:right w:val="nil"/>
          <w:between w:val="nil"/>
        </w:pBdr>
      </w:pPr>
      <w:r>
        <w:rPr>
          <w:color w:val="000000"/>
        </w:rPr>
        <w:t>is clearly and adequately documented to set out the function of each section of code;</w:t>
      </w:r>
    </w:p>
    <w:p w:rsidR="005F4C24" w:rsidRDefault="004C2B0D">
      <w:pPr>
        <w:keepNext/>
        <w:numPr>
          <w:ilvl w:val="3"/>
          <w:numId w:val="30"/>
        </w:numPr>
        <w:pBdr>
          <w:top w:val="nil"/>
          <w:left w:val="nil"/>
          <w:bottom w:val="nil"/>
          <w:right w:val="nil"/>
          <w:between w:val="nil"/>
        </w:pBdr>
      </w:pPr>
      <w:r>
        <w:rPr>
          <w:color w:val="000000"/>
        </w:rPr>
        <w:t>is subject to appropriate levels of review through automated and non-automated methods both as part of:</w:t>
      </w:r>
    </w:p>
    <w:p w:rsidR="005F4C24" w:rsidRDefault="004C2B0D">
      <w:pPr>
        <w:numPr>
          <w:ilvl w:val="4"/>
          <w:numId w:val="30"/>
        </w:numPr>
        <w:pBdr>
          <w:top w:val="nil"/>
          <w:left w:val="nil"/>
          <w:bottom w:val="nil"/>
          <w:right w:val="nil"/>
          <w:between w:val="nil"/>
        </w:pBdr>
      </w:pPr>
      <w:r>
        <w:rPr>
          <w:color w:val="000000"/>
        </w:rPr>
        <w:t>any original coding; and</w:t>
      </w:r>
    </w:p>
    <w:p w:rsidR="005F4C24" w:rsidRDefault="004C2B0D">
      <w:pPr>
        <w:numPr>
          <w:ilvl w:val="4"/>
          <w:numId w:val="30"/>
        </w:numPr>
        <w:pBdr>
          <w:top w:val="nil"/>
          <w:left w:val="nil"/>
          <w:bottom w:val="nil"/>
          <w:right w:val="nil"/>
          <w:between w:val="nil"/>
        </w:pBdr>
      </w:pPr>
      <w:r>
        <w:rPr>
          <w:color w:val="000000"/>
        </w:rPr>
        <w:lastRenderedPageBreak/>
        <w:t xml:space="preserve">at any time the Code </w:t>
      </w:r>
      <w:proofErr w:type="gramStart"/>
      <w:r>
        <w:rPr>
          <w:color w:val="000000"/>
        </w:rPr>
        <w:t>is  changed</w:t>
      </w:r>
      <w:proofErr w:type="gramEnd"/>
      <w:r>
        <w:rPr>
          <w:color w:val="000000"/>
        </w:rPr>
        <w:t>;</w:t>
      </w:r>
    </w:p>
    <w:p w:rsidR="005F4C24" w:rsidRDefault="004C2B0D">
      <w:pPr>
        <w:keepNext/>
        <w:numPr>
          <w:ilvl w:val="2"/>
          <w:numId w:val="30"/>
        </w:numPr>
        <w:pBdr>
          <w:top w:val="nil"/>
          <w:left w:val="nil"/>
          <w:bottom w:val="nil"/>
          <w:right w:val="nil"/>
          <w:between w:val="nil"/>
        </w:pBdr>
      </w:pPr>
      <w:r>
        <w:rPr>
          <w:color w:val="000000"/>
        </w:rPr>
        <w:t>ensure that all Development Environments:</w:t>
      </w:r>
    </w:p>
    <w:p w:rsidR="005F4C24" w:rsidRDefault="004C2B0D">
      <w:pPr>
        <w:numPr>
          <w:ilvl w:val="3"/>
          <w:numId w:val="30"/>
        </w:numPr>
        <w:pBdr>
          <w:top w:val="nil"/>
          <w:left w:val="nil"/>
          <w:bottom w:val="nil"/>
          <w:right w:val="nil"/>
          <w:between w:val="nil"/>
        </w:pBdr>
      </w:pPr>
      <w:r>
        <w:rPr>
          <w:color w:val="000000"/>
        </w:rPr>
        <w:t>protect access credentials and secret keys;</w:t>
      </w:r>
    </w:p>
    <w:p w:rsidR="005F4C24" w:rsidRDefault="004C2B0D">
      <w:pPr>
        <w:numPr>
          <w:ilvl w:val="3"/>
          <w:numId w:val="30"/>
        </w:numPr>
        <w:pBdr>
          <w:top w:val="nil"/>
          <w:left w:val="nil"/>
          <w:bottom w:val="nil"/>
          <w:right w:val="nil"/>
          <w:between w:val="nil"/>
        </w:pBdr>
      </w:pPr>
      <w:r>
        <w:rPr>
          <w:color w:val="000000"/>
        </w:rPr>
        <w:t>is logically separate from all other environments, including production systems, operated by the Supplier or Sub-contractor;</w:t>
      </w:r>
    </w:p>
    <w:p w:rsidR="005F4C24" w:rsidRDefault="004C2B0D">
      <w:pPr>
        <w:numPr>
          <w:ilvl w:val="3"/>
          <w:numId w:val="30"/>
        </w:numPr>
        <w:pBdr>
          <w:top w:val="nil"/>
          <w:left w:val="nil"/>
          <w:bottom w:val="nil"/>
          <w:right w:val="nil"/>
          <w:between w:val="nil"/>
        </w:pBdr>
      </w:pPr>
      <w:r>
        <w:rPr>
          <w:color w:val="000000"/>
        </w:rPr>
        <w:t>requires multi-factor authentication to access;</w:t>
      </w:r>
    </w:p>
    <w:p w:rsidR="005F4C24" w:rsidRDefault="004C2B0D">
      <w:pPr>
        <w:numPr>
          <w:ilvl w:val="3"/>
          <w:numId w:val="30"/>
        </w:numPr>
        <w:pBdr>
          <w:top w:val="nil"/>
          <w:left w:val="nil"/>
          <w:bottom w:val="nil"/>
          <w:right w:val="nil"/>
          <w:between w:val="nil"/>
        </w:pBdr>
      </w:pPr>
      <w:r>
        <w:rPr>
          <w:color w:val="000000"/>
        </w:rPr>
        <w:t>have onward technical controls to protect the Developed System or the Supplier Information Management System in the event a Development Environment is compromised;</w:t>
      </w:r>
    </w:p>
    <w:p w:rsidR="005F4C24" w:rsidRDefault="004C2B0D">
      <w:pPr>
        <w:numPr>
          <w:ilvl w:val="3"/>
          <w:numId w:val="30"/>
        </w:numPr>
        <w:pBdr>
          <w:top w:val="nil"/>
          <w:left w:val="nil"/>
          <w:bottom w:val="nil"/>
          <w:right w:val="nil"/>
          <w:between w:val="nil"/>
        </w:pBdr>
      </w:pPr>
      <w:r>
        <w:rPr>
          <w:color w:val="000000"/>
        </w:rPr>
        <w:t>use network architecture controls to constrain access from the Development Environment to the Developed System or the Supplier Information Management System;</w:t>
      </w:r>
    </w:p>
    <w:p w:rsidR="005F4C24" w:rsidRDefault="004C2B0D">
      <w:pPr>
        <w:keepNext/>
        <w:numPr>
          <w:ilvl w:val="0"/>
          <w:numId w:val="30"/>
        </w:numPr>
        <w:pBdr>
          <w:top w:val="nil"/>
          <w:left w:val="nil"/>
          <w:bottom w:val="nil"/>
          <w:right w:val="nil"/>
          <w:between w:val="nil"/>
        </w:pBdr>
        <w:spacing w:before="360"/>
      </w:pPr>
      <w:r>
        <w:rPr>
          <w:b/>
          <w:color w:val="000000"/>
          <w:sz w:val="24"/>
          <w:szCs w:val="24"/>
        </w:rPr>
        <w:t>Secure Architecture</w:t>
      </w:r>
    </w:p>
    <w:p w:rsidR="005F4C24" w:rsidRDefault="004C2B0D">
      <w:pPr>
        <w:keepNext/>
        <w:numPr>
          <w:ilvl w:val="1"/>
          <w:numId w:val="30"/>
        </w:numPr>
        <w:pBdr>
          <w:top w:val="nil"/>
          <w:left w:val="nil"/>
          <w:bottom w:val="nil"/>
          <w:right w:val="nil"/>
          <w:between w:val="nil"/>
        </w:pBdr>
      </w:pPr>
      <w:bookmarkStart w:id="143" w:name="_heading=h.356xmb2" w:colFirst="0" w:colLast="0"/>
      <w:bookmarkEnd w:id="143"/>
      <w:r>
        <w:rPr>
          <w:color w:val="000000"/>
        </w:rPr>
        <w:t>The Supplier shall design and build the Developed System in a manner consistent with:</w:t>
      </w:r>
    </w:p>
    <w:p w:rsidR="005F4C24" w:rsidRDefault="004C2B0D">
      <w:pPr>
        <w:numPr>
          <w:ilvl w:val="2"/>
          <w:numId w:val="30"/>
        </w:numPr>
        <w:pBdr>
          <w:top w:val="nil"/>
          <w:left w:val="nil"/>
          <w:bottom w:val="nil"/>
          <w:right w:val="nil"/>
          <w:between w:val="nil"/>
        </w:pBdr>
      </w:pPr>
      <w:r>
        <w:rPr>
          <w:color w:val="000000"/>
        </w:rPr>
        <w:t>the NCSC’s guidance on “Security Design Principles for Digital Services”;</w:t>
      </w:r>
    </w:p>
    <w:p w:rsidR="005F4C24" w:rsidRDefault="004C2B0D">
      <w:pPr>
        <w:numPr>
          <w:ilvl w:val="2"/>
          <w:numId w:val="30"/>
        </w:numPr>
        <w:pBdr>
          <w:top w:val="nil"/>
          <w:left w:val="nil"/>
          <w:bottom w:val="nil"/>
          <w:right w:val="nil"/>
          <w:between w:val="nil"/>
        </w:pBdr>
      </w:pPr>
      <w:r>
        <w:rPr>
          <w:color w:val="000000"/>
        </w:rPr>
        <w:t>where the Developed System will Process bulk data, the NCSC’s guidance on “Bulk Data Principles”; and</w:t>
      </w:r>
    </w:p>
    <w:p w:rsidR="005F4C24" w:rsidRDefault="004C2B0D">
      <w:pPr>
        <w:numPr>
          <w:ilvl w:val="2"/>
          <w:numId w:val="30"/>
        </w:numPr>
        <w:pBdr>
          <w:top w:val="nil"/>
          <w:left w:val="nil"/>
          <w:bottom w:val="nil"/>
          <w:right w:val="nil"/>
          <w:between w:val="nil"/>
        </w:pBdr>
      </w:pPr>
      <w:r>
        <w:rPr>
          <w:color w:val="000000"/>
        </w:rPr>
        <w:t>the NCSC’s guidance on “Cloud Security Principles”.</w:t>
      </w:r>
    </w:p>
    <w:p w:rsidR="005F4C24" w:rsidRDefault="004C2B0D">
      <w:pPr>
        <w:keepNext/>
        <w:numPr>
          <w:ilvl w:val="2"/>
          <w:numId w:val="30"/>
        </w:numPr>
      </w:pPr>
      <w:r>
        <w:t>The NCSC’s Cyber Assessment Framework (CAF)</w:t>
      </w:r>
    </w:p>
    <w:p w:rsidR="005F4C24" w:rsidRDefault="004C2B0D">
      <w:pPr>
        <w:numPr>
          <w:ilvl w:val="1"/>
          <w:numId w:val="30"/>
        </w:numPr>
        <w:pBdr>
          <w:top w:val="nil"/>
          <w:left w:val="nil"/>
          <w:bottom w:val="nil"/>
          <w:right w:val="nil"/>
          <w:between w:val="nil"/>
        </w:pBdr>
      </w:pPr>
      <w:r>
        <w:rPr>
          <w:color w:val="000000"/>
        </w:rPr>
        <w:t>Where any of the documents referred to in paragraph 2.1 provides for various options, the Supplier must document the option it has chosen to implement and its reasons for doing so.</w:t>
      </w:r>
    </w:p>
    <w:p w:rsidR="005F4C24" w:rsidRDefault="004C2B0D">
      <w:pPr>
        <w:keepNext/>
        <w:numPr>
          <w:ilvl w:val="1"/>
          <w:numId w:val="30"/>
        </w:numPr>
        <w:pBdr>
          <w:top w:val="nil"/>
          <w:left w:val="nil"/>
          <w:bottom w:val="nil"/>
          <w:right w:val="nil"/>
          <w:between w:val="nil"/>
        </w:pBdr>
      </w:pPr>
      <w:r>
        <w:rPr>
          <w:color w:val="000000"/>
        </w:rPr>
        <w:t>Notwithstanding anything in the specification for the Developed System or this Contract, the Supplier must ensure that the Developed System encrypts Authority Data:</w:t>
      </w:r>
    </w:p>
    <w:p w:rsidR="005F4C24" w:rsidRDefault="004C2B0D">
      <w:pPr>
        <w:numPr>
          <w:ilvl w:val="2"/>
          <w:numId w:val="30"/>
        </w:numPr>
        <w:pBdr>
          <w:top w:val="nil"/>
          <w:left w:val="nil"/>
          <w:bottom w:val="nil"/>
          <w:right w:val="nil"/>
          <w:between w:val="nil"/>
        </w:pBdr>
      </w:pPr>
      <w:r>
        <w:rPr>
          <w:color w:val="000000"/>
        </w:rPr>
        <w:t>when the Authority Data is stored at any time when no operation is being performed on it; and</w:t>
      </w:r>
    </w:p>
    <w:p w:rsidR="005F4C24" w:rsidRDefault="004C2B0D">
      <w:pPr>
        <w:numPr>
          <w:ilvl w:val="2"/>
          <w:numId w:val="30"/>
        </w:numPr>
        <w:pBdr>
          <w:top w:val="nil"/>
          <w:left w:val="nil"/>
          <w:bottom w:val="nil"/>
          <w:right w:val="nil"/>
          <w:between w:val="nil"/>
        </w:pBdr>
      </w:pPr>
      <w:r>
        <w:rPr>
          <w:color w:val="000000"/>
        </w:rPr>
        <w:t>when the Authority Data is transmitted.</w:t>
      </w:r>
    </w:p>
    <w:p w:rsidR="005F4C24" w:rsidRDefault="004C2B0D">
      <w:pPr>
        <w:numPr>
          <w:ilvl w:val="1"/>
          <w:numId w:val="30"/>
        </w:numPr>
        <w:pBdr>
          <w:top w:val="nil"/>
          <w:left w:val="nil"/>
          <w:bottom w:val="nil"/>
          <w:right w:val="nil"/>
          <w:between w:val="nil"/>
        </w:pBdr>
      </w:pPr>
      <w:r>
        <w:rPr>
          <w:color w:val="000000"/>
        </w:rPr>
        <w:t>The Supplier must ensure that the Developed System is developed and configured so as to provide for the matters set out in paragraphs 11.1 to 11.4 of the Security Requirements.</w:t>
      </w:r>
    </w:p>
    <w:p w:rsidR="005F4C24" w:rsidRDefault="004C2B0D">
      <w:pPr>
        <w:keepNext/>
        <w:numPr>
          <w:ilvl w:val="0"/>
          <w:numId w:val="30"/>
        </w:numPr>
        <w:pBdr>
          <w:top w:val="nil"/>
          <w:left w:val="nil"/>
          <w:bottom w:val="nil"/>
          <w:right w:val="nil"/>
          <w:between w:val="nil"/>
        </w:pBdr>
        <w:spacing w:before="360"/>
      </w:pPr>
      <w:r>
        <w:rPr>
          <w:b/>
          <w:color w:val="000000"/>
          <w:sz w:val="24"/>
          <w:szCs w:val="24"/>
        </w:rPr>
        <w:t>Code Repository and Deployment Pipeline</w:t>
      </w:r>
    </w:p>
    <w:p w:rsidR="005F4C24" w:rsidRDefault="004C2B0D">
      <w:pPr>
        <w:keepNext/>
        <w:numPr>
          <w:ilvl w:val="0"/>
          <w:numId w:val="37"/>
        </w:numPr>
        <w:pBdr>
          <w:top w:val="nil"/>
          <w:left w:val="nil"/>
          <w:bottom w:val="nil"/>
          <w:right w:val="nil"/>
          <w:between w:val="nil"/>
        </w:pBdr>
      </w:pPr>
      <w:r>
        <w:rPr>
          <w:color w:val="000000"/>
        </w:rPr>
        <w:t>The Supplier must, and must ensure that all Sub-contractors engaged in Development Activity:</w:t>
      </w:r>
    </w:p>
    <w:p w:rsidR="005F4C24" w:rsidRDefault="004C2B0D">
      <w:pPr>
        <w:numPr>
          <w:ilvl w:val="1"/>
          <w:numId w:val="30"/>
        </w:numPr>
        <w:pBdr>
          <w:top w:val="nil"/>
          <w:left w:val="nil"/>
          <w:bottom w:val="nil"/>
          <w:right w:val="nil"/>
          <w:between w:val="nil"/>
        </w:pBdr>
      </w:pPr>
      <w:r>
        <w:rPr>
          <w:color w:val="000000"/>
        </w:rPr>
        <w:t>when using a cloud-based code depository for the deployment pipeline, use only a cloud-based code depository that has been assessed against the NCSC Cloud Security Principles;</w:t>
      </w:r>
    </w:p>
    <w:p w:rsidR="005F4C24" w:rsidRDefault="004C2B0D">
      <w:pPr>
        <w:numPr>
          <w:ilvl w:val="1"/>
          <w:numId w:val="30"/>
        </w:numPr>
        <w:pBdr>
          <w:top w:val="nil"/>
          <w:left w:val="nil"/>
          <w:bottom w:val="nil"/>
          <w:right w:val="nil"/>
          <w:between w:val="nil"/>
        </w:pBdr>
      </w:pPr>
      <w:r>
        <w:rPr>
          <w:color w:val="000000"/>
        </w:rPr>
        <w:t xml:space="preserve">ensure user access to code repositories is authenticated using credentials, with passwords or private keys; </w:t>
      </w:r>
    </w:p>
    <w:p w:rsidR="005F4C24" w:rsidRDefault="004C2B0D">
      <w:pPr>
        <w:numPr>
          <w:ilvl w:val="1"/>
          <w:numId w:val="30"/>
        </w:numPr>
        <w:pBdr>
          <w:top w:val="nil"/>
          <w:left w:val="nil"/>
          <w:bottom w:val="nil"/>
          <w:right w:val="nil"/>
          <w:between w:val="nil"/>
        </w:pBdr>
      </w:pPr>
      <w:r>
        <w:rPr>
          <w:color w:val="000000"/>
        </w:rPr>
        <w:lastRenderedPageBreak/>
        <w:t>ensure secret credentials are separated from source code.</w:t>
      </w:r>
    </w:p>
    <w:p w:rsidR="005F4C24" w:rsidRDefault="004C2B0D">
      <w:pPr>
        <w:numPr>
          <w:ilvl w:val="1"/>
          <w:numId w:val="30"/>
        </w:numPr>
        <w:pBdr>
          <w:top w:val="nil"/>
          <w:left w:val="nil"/>
          <w:bottom w:val="nil"/>
          <w:right w:val="nil"/>
          <w:between w:val="nil"/>
        </w:pBdr>
      </w:pPr>
      <w:r>
        <w:rPr>
          <w:color w:val="000000"/>
        </w:rPr>
        <w:t>run automatic security testing as part of any deployment of the Developed System.</w:t>
      </w:r>
    </w:p>
    <w:p w:rsidR="005F4C24" w:rsidRDefault="004C2B0D">
      <w:pPr>
        <w:keepNext/>
        <w:numPr>
          <w:ilvl w:val="0"/>
          <w:numId w:val="30"/>
        </w:numPr>
        <w:pBdr>
          <w:top w:val="nil"/>
          <w:left w:val="nil"/>
          <w:bottom w:val="nil"/>
          <w:right w:val="nil"/>
          <w:between w:val="nil"/>
        </w:pBdr>
        <w:spacing w:before="360"/>
      </w:pPr>
      <w:r>
        <w:rPr>
          <w:b/>
          <w:color w:val="000000"/>
          <w:sz w:val="24"/>
          <w:szCs w:val="24"/>
        </w:rPr>
        <w:t>Development and Testing Data</w:t>
      </w:r>
    </w:p>
    <w:p w:rsidR="005F4C24" w:rsidRDefault="004C2B0D">
      <w:pPr>
        <w:numPr>
          <w:ilvl w:val="0"/>
          <w:numId w:val="37"/>
        </w:numPr>
        <w:pBdr>
          <w:top w:val="nil"/>
          <w:left w:val="nil"/>
          <w:bottom w:val="nil"/>
          <w:right w:val="nil"/>
          <w:between w:val="nil"/>
        </w:pBdr>
      </w:pPr>
      <w:r>
        <w:rPr>
          <w:color w:val="000000"/>
        </w:rPr>
        <w:t>The Supplier must, and must ensure that all Sub-contractors engaged in Development Activity, use only anonymised, dummy or synthetic data when using data within the Development Environment for the purposes of development and testing.</w:t>
      </w:r>
    </w:p>
    <w:p w:rsidR="005F4C24" w:rsidRDefault="004C2B0D">
      <w:pPr>
        <w:keepNext/>
        <w:numPr>
          <w:ilvl w:val="0"/>
          <w:numId w:val="30"/>
        </w:numPr>
        <w:pBdr>
          <w:top w:val="nil"/>
          <w:left w:val="nil"/>
          <w:bottom w:val="nil"/>
          <w:right w:val="nil"/>
          <w:between w:val="nil"/>
        </w:pBdr>
        <w:spacing w:before="360"/>
      </w:pPr>
      <w:bookmarkStart w:id="144" w:name="_heading=h.1kc7wiv" w:colFirst="0" w:colLast="0"/>
      <w:bookmarkEnd w:id="144"/>
      <w:r>
        <w:rPr>
          <w:b/>
          <w:color w:val="000000"/>
          <w:sz w:val="24"/>
          <w:szCs w:val="24"/>
        </w:rPr>
        <w:t>Code Reviews</w:t>
      </w:r>
    </w:p>
    <w:p w:rsidR="005F4C24" w:rsidRDefault="004C2B0D">
      <w:pPr>
        <w:keepNext/>
        <w:numPr>
          <w:ilvl w:val="1"/>
          <w:numId w:val="30"/>
        </w:numPr>
        <w:pBdr>
          <w:top w:val="nil"/>
          <w:left w:val="nil"/>
          <w:bottom w:val="nil"/>
          <w:right w:val="nil"/>
          <w:between w:val="nil"/>
        </w:pBdr>
      </w:pPr>
      <w:r>
        <w:rPr>
          <w:color w:val="000000"/>
        </w:rPr>
        <w:t>The Supplier must:</w:t>
      </w:r>
    </w:p>
    <w:p w:rsidR="005F4C24" w:rsidRDefault="004C2B0D">
      <w:pPr>
        <w:numPr>
          <w:ilvl w:val="2"/>
          <w:numId w:val="30"/>
        </w:numPr>
        <w:pBdr>
          <w:top w:val="nil"/>
          <w:left w:val="nil"/>
          <w:bottom w:val="nil"/>
          <w:right w:val="nil"/>
          <w:between w:val="nil"/>
        </w:pBdr>
      </w:pPr>
      <w:r>
        <w:rPr>
          <w:color w:val="000000"/>
        </w:rPr>
        <w:t>regularly; or</w:t>
      </w:r>
    </w:p>
    <w:p w:rsidR="005F4C24" w:rsidRDefault="004C2B0D">
      <w:pPr>
        <w:numPr>
          <w:ilvl w:val="2"/>
          <w:numId w:val="30"/>
        </w:numPr>
        <w:pBdr>
          <w:top w:val="nil"/>
          <w:left w:val="nil"/>
          <w:bottom w:val="nil"/>
          <w:right w:val="nil"/>
          <w:between w:val="nil"/>
        </w:pBdr>
      </w:pPr>
      <w:r>
        <w:rPr>
          <w:color w:val="000000"/>
        </w:rPr>
        <w:t>as required by the Authority</w:t>
      </w:r>
    </w:p>
    <w:p w:rsidR="005F4C24" w:rsidRDefault="004C2B0D">
      <w:pPr>
        <w:numPr>
          <w:ilvl w:val="0"/>
          <w:numId w:val="37"/>
        </w:numPr>
        <w:pBdr>
          <w:top w:val="nil"/>
          <w:left w:val="nil"/>
          <w:bottom w:val="nil"/>
          <w:right w:val="nil"/>
          <w:between w:val="nil"/>
        </w:pBdr>
      </w:pPr>
      <w:r>
        <w:rPr>
          <w:color w:val="000000"/>
        </w:rPr>
        <w:t>review the Code in accordance with the requirements of this paragraph 5 (</w:t>
      </w:r>
      <w:r>
        <w:rPr>
          <w:b/>
          <w:color w:val="000000"/>
        </w:rPr>
        <w:t>Code Review</w:t>
      </w:r>
      <w:r>
        <w:rPr>
          <w:color w:val="000000"/>
        </w:rPr>
        <w:t>).</w:t>
      </w:r>
    </w:p>
    <w:p w:rsidR="005F4C24" w:rsidRDefault="004C2B0D">
      <w:pPr>
        <w:keepNext/>
        <w:numPr>
          <w:ilvl w:val="1"/>
          <w:numId w:val="30"/>
        </w:numPr>
        <w:pBdr>
          <w:top w:val="nil"/>
          <w:left w:val="nil"/>
          <w:bottom w:val="nil"/>
          <w:right w:val="nil"/>
          <w:between w:val="nil"/>
        </w:pBdr>
      </w:pPr>
      <w:bookmarkStart w:id="145" w:name="_heading=h.44bvf6o" w:colFirst="0" w:colLast="0"/>
      <w:bookmarkEnd w:id="145"/>
      <w:r>
        <w:rPr>
          <w:color w:val="000000"/>
        </w:rPr>
        <w:t>Before conducting any Code Review, the Supplier must agree with the Authority:</w:t>
      </w:r>
    </w:p>
    <w:p w:rsidR="005F4C24" w:rsidRDefault="004C2B0D">
      <w:pPr>
        <w:numPr>
          <w:ilvl w:val="2"/>
          <w:numId w:val="30"/>
        </w:numPr>
        <w:pBdr>
          <w:top w:val="nil"/>
          <w:left w:val="nil"/>
          <w:bottom w:val="nil"/>
          <w:right w:val="nil"/>
          <w:between w:val="nil"/>
        </w:pBdr>
      </w:pPr>
      <w:r>
        <w:rPr>
          <w:color w:val="000000"/>
        </w:rPr>
        <w:t>the modules or elements of the Code subject to the Code Review;</w:t>
      </w:r>
    </w:p>
    <w:p w:rsidR="005F4C24" w:rsidRDefault="004C2B0D">
      <w:pPr>
        <w:numPr>
          <w:ilvl w:val="2"/>
          <w:numId w:val="30"/>
        </w:numPr>
        <w:pBdr>
          <w:top w:val="nil"/>
          <w:left w:val="nil"/>
          <w:bottom w:val="nil"/>
          <w:right w:val="nil"/>
          <w:between w:val="nil"/>
        </w:pBdr>
      </w:pPr>
      <w:r>
        <w:rPr>
          <w:color w:val="000000"/>
        </w:rPr>
        <w:t>the development state at which the Code Review will take place;</w:t>
      </w:r>
    </w:p>
    <w:p w:rsidR="005F4C24" w:rsidRDefault="004C2B0D">
      <w:pPr>
        <w:numPr>
          <w:ilvl w:val="2"/>
          <w:numId w:val="30"/>
        </w:numPr>
        <w:pBdr>
          <w:top w:val="nil"/>
          <w:left w:val="nil"/>
          <w:bottom w:val="nil"/>
          <w:right w:val="nil"/>
          <w:between w:val="nil"/>
        </w:pBdr>
      </w:pPr>
      <w:r>
        <w:rPr>
          <w:color w:val="000000"/>
        </w:rPr>
        <w:t>any specific security vulnerabilities the Code Review will assess; and</w:t>
      </w:r>
    </w:p>
    <w:p w:rsidR="005F4C24" w:rsidRDefault="004C2B0D">
      <w:pPr>
        <w:numPr>
          <w:ilvl w:val="2"/>
          <w:numId w:val="30"/>
        </w:numPr>
        <w:pBdr>
          <w:top w:val="nil"/>
          <w:left w:val="nil"/>
          <w:bottom w:val="nil"/>
          <w:right w:val="nil"/>
          <w:between w:val="nil"/>
        </w:pBdr>
      </w:pPr>
      <w:r>
        <w:rPr>
          <w:color w:val="000000"/>
        </w:rPr>
        <w:t>the frequency of any Code Reviews (</w:t>
      </w:r>
      <w:r>
        <w:rPr>
          <w:b/>
          <w:color w:val="000000"/>
        </w:rPr>
        <w:t>Code Review Plan</w:t>
      </w:r>
      <w:r>
        <w:rPr>
          <w:color w:val="000000"/>
        </w:rPr>
        <w:t>).</w:t>
      </w:r>
    </w:p>
    <w:p w:rsidR="005F4C24" w:rsidRDefault="004C2B0D">
      <w:pPr>
        <w:numPr>
          <w:ilvl w:val="1"/>
          <w:numId w:val="30"/>
        </w:numPr>
        <w:pBdr>
          <w:top w:val="nil"/>
          <w:left w:val="nil"/>
          <w:bottom w:val="nil"/>
          <w:right w:val="nil"/>
          <w:between w:val="nil"/>
        </w:pBdr>
      </w:pPr>
      <w:r>
        <w:rPr>
          <w:color w:val="000000"/>
        </w:rPr>
        <w:t>For the avoidance of doubt the Code Review Plan may specify different modules or elements of the Code are reviewed at a different development state, for different security vulnerabilities and at different frequencies.</w:t>
      </w:r>
    </w:p>
    <w:p w:rsidR="005F4C24" w:rsidRDefault="004C2B0D">
      <w:pPr>
        <w:keepNext/>
        <w:numPr>
          <w:ilvl w:val="1"/>
          <w:numId w:val="30"/>
        </w:numPr>
        <w:pBdr>
          <w:top w:val="nil"/>
          <w:left w:val="nil"/>
          <w:bottom w:val="nil"/>
          <w:right w:val="nil"/>
          <w:between w:val="nil"/>
        </w:pBdr>
      </w:pPr>
      <w:r>
        <w:rPr>
          <w:color w:val="000000"/>
        </w:rPr>
        <w:t>The Supplier:</w:t>
      </w:r>
    </w:p>
    <w:p w:rsidR="005F4C24" w:rsidRDefault="004C2B0D">
      <w:pPr>
        <w:numPr>
          <w:ilvl w:val="2"/>
          <w:numId w:val="30"/>
        </w:numPr>
        <w:pBdr>
          <w:top w:val="nil"/>
          <w:left w:val="nil"/>
          <w:bottom w:val="nil"/>
          <w:right w:val="nil"/>
          <w:between w:val="nil"/>
        </w:pBdr>
      </w:pPr>
      <w:r>
        <w:rPr>
          <w:color w:val="000000"/>
        </w:rPr>
        <w:t>must undertake Code Reviews in accordance with the Code Review Plan; and</w:t>
      </w:r>
    </w:p>
    <w:p w:rsidR="005F4C24" w:rsidRDefault="004C2B0D">
      <w:pPr>
        <w:numPr>
          <w:ilvl w:val="2"/>
          <w:numId w:val="30"/>
        </w:numPr>
        <w:pBdr>
          <w:top w:val="nil"/>
          <w:left w:val="nil"/>
          <w:bottom w:val="nil"/>
          <w:right w:val="nil"/>
          <w:between w:val="nil"/>
        </w:pBdr>
      </w:pPr>
      <w:r>
        <w:rPr>
          <w:color w:val="000000"/>
        </w:rPr>
        <w:t>may undertake Code Reviews by automated means if this is consistent with the approach specified in the Code review Plan.</w:t>
      </w:r>
    </w:p>
    <w:p w:rsidR="005F4C24" w:rsidRDefault="004C2B0D">
      <w:pPr>
        <w:numPr>
          <w:ilvl w:val="1"/>
          <w:numId w:val="30"/>
        </w:numPr>
        <w:pBdr>
          <w:top w:val="nil"/>
          <w:left w:val="nil"/>
          <w:bottom w:val="nil"/>
          <w:right w:val="nil"/>
          <w:between w:val="nil"/>
        </w:pBdr>
      </w:pPr>
      <w:r>
        <w:rPr>
          <w:color w:val="000000"/>
        </w:rPr>
        <w:t xml:space="preserve">No later than ten Working Days or each Code Review, the Supplier must provide the Authority will a full, unedited and unredacted copy of the Code Review Report. </w:t>
      </w:r>
    </w:p>
    <w:p w:rsidR="005F4C24" w:rsidRDefault="004C2B0D">
      <w:pPr>
        <w:keepNext/>
        <w:numPr>
          <w:ilvl w:val="1"/>
          <w:numId w:val="30"/>
        </w:numPr>
        <w:pBdr>
          <w:top w:val="nil"/>
          <w:left w:val="nil"/>
          <w:bottom w:val="nil"/>
          <w:right w:val="nil"/>
          <w:between w:val="nil"/>
        </w:pBdr>
      </w:pPr>
      <w:bookmarkStart w:id="146" w:name="_heading=h.2jh5peh" w:colFirst="0" w:colLast="0"/>
      <w:bookmarkEnd w:id="146"/>
      <w:r>
        <w:rPr>
          <w:color w:val="000000"/>
        </w:rPr>
        <w:t>Where the Code Review identifies any security vulnerabilities, the Supplier must:</w:t>
      </w:r>
    </w:p>
    <w:p w:rsidR="005F4C24" w:rsidRDefault="004C2B0D">
      <w:pPr>
        <w:numPr>
          <w:ilvl w:val="2"/>
          <w:numId w:val="30"/>
        </w:numPr>
        <w:pBdr>
          <w:top w:val="nil"/>
          <w:left w:val="nil"/>
          <w:bottom w:val="nil"/>
          <w:right w:val="nil"/>
          <w:between w:val="nil"/>
        </w:pBdr>
      </w:pPr>
      <w:r>
        <w:rPr>
          <w:color w:val="000000"/>
        </w:rPr>
        <w:t>remedy these at its own cost and expense;</w:t>
      </w:r>
    </w:p>
    <w:p w:rsidR="005F4C24" w:rsidRDefault="004C2B0D">
      <w:pPr>
        <w:numPr>
          <w:ilvl w:val="2"/>
          <w:numId w:val="30"/>
        </w:numPr>
        <w:pBdr>
          <w:top w:val="nil"/>
          <w:left w:val="nil"/>
          <w:bottom w:val="nil"/>
          <w:right w:val="nil"/>
          <w:between w:val="nil"/>
        </w:pBdr>
      </w:pPr>
      <w:r>
        <w:rPr>
          <w:color w:val="000000"/>
        </w:rPr>
        <w:t>ensure, so far as reasonably practicable, that the identified security vulnerabilities are not present in any other modules or code elements; and</w:t>
      </w:r>
    </w:p>
    <w:p w:rsidR="005F4C24" w:rsidRDefault="004C2B0D">
      <w:pPr>
        <w:numPr>
          <w:ilvl w:val="2"/>
          <w:numId w:val="30"/>
        </w:numPr>
        <w:pBdr>
          <w:top w:val="nil"/>
          <w:left w:val="nil"/>
          <w:bottom w:val="nil"/>
          <w:right w:val="nil"/>
          <w:between w:val="nil"/>
        </w:pBdr>
      </w:pPr>
      <w:r>
        <w:rPr>
          <w:color w:val="000000"/>
        </w:rPr>
        <w:t>modify its approach to undertaking the Development Activities to ensure, so far as is practicable, the identified security vulnerabilities will not re-occur; and</w:t>
      </w:r>
    </w:p>
    <w:p w:rsidR="005F4C24" w:rsidRDefault="004C2B0D">
      <w:pPr>
        <w:numPr>
          <w:ilvl w:val="2"/>
          <w:numId w:val="30"/>
        </w:numPr>
        <w:pBdr>
          <w:top w:val="nil"/>
          <w:left w:val="nil"/>
          <w:bottom w:val="nil"/>
          <w:right w:val="nil"/>
          <w:between w:val="nil"/>
        </w:pBdr>
      </w:pPr>
      <w:bookmarkStart w:id="147" w:name="_heading=h.ymfzma" w:colFirst="0" w:colLast="0"/>
      <w:bookmarkEnd w:id="147"/>
      <w:r>
        <w:rPr>
          <w:color w:val="000000"/>
        </w:rPr>
        <w:t>provide the Authority with such information as it requests about the steps the Supplier takes under this paragraph 5.6.</w:t>
      </w:r>
    </w:p>
    <w:p w:rsidR="005F4C24" w:rsidRDefault="004C2B0D">
      <w:pPr>
        <w:keepNext/>
        <w:numPr>
          <w:ilvl w:val="0"/>
          <w:numId w:val="30"/>
        </w:numPr>
        <w:pBdr>
          <w:top w:val="nil"/>
          <w:left w:val="nil"/>
          <w:bottom w:val="nil"/>
          <w:right w:val="nil"/>
          <w:between w:val="nil"/>
        </w:pBdr>
        <w:spacing w:before="360"/>
      </w:pPr>
      <w:r>
        <w:rPr>
          <w:b/>
          <w:color w:val="000000"/>
          <w:sz w:val="24"/>
          <w:szCs w:val="24"/>
        </w:rPr>
        <w:lastRenderedPageBreak/>
        <w:t>Third-party Software</w:t>
      </w:r>
    </w:p>
    <w:p w:rsidR="005F4C24" w:rsidRDefault="004C2B0D">
      <w:pPr>
        <w:numPr>
          <w:ilvl w:val="0"/>
          <w:numId w:val="37"/>
        </w:numPr>
        <w:pBdr>
          <w:top w:val="nil"/>
          <w:left w:val="nil"/>
          <w:bottom w:val="nil"/>
          <w:right w:val="nil"/>
          <w:between w:val="nil"/>
        </w:pBdr>
      </w:pPr>
      <w:r>
        <w:rPr>
          <w:color w:val="000000"/>
        </w:rPr>
        <w:t>The Supplier must not, and must ensure that Sub-contractors do not, use any software to Process Authority Data where the licence terms of that software purport to grant the licensor rights to Process the Authority Data greater than those rights strictly necessary for the use of the software.</w:t>
      </w:r>
    </w:p>
    <w:p w:rsidR="005F4C24" w:rsidRDefault="004C2B0D">
      <w:pPr>
        <w:keepNext/>
        <w:numPr>
          <w:ilvl w:val="0"/>
          <w:numId w:val="30"/>
        </w:numPr>
        <w:pBdr>
          <w:top w:val="nil"/>
          <w:left w:val="nil"/>
          <w:bottom w:val="nil"/>
          <w:right w:val="nil"/>
          <w:between w:val="nil"/>
        </w:pBdr>
        <w:spacing w:before="360"/>
      </w:pPr>
      <w:r>
        <w:rPr>
          <w:b/>
          <w:color w:val="000000"/>
          <w:sz w:val="24"/>
          <w:szCs w:val="24"/>
        </w:rPr>
        <w:t>Third-party Software Modules</w:t>
      </w:r>
    </w:p>
    <w:p w:rsidR="005F4C24" w:rsidRDefault="004C2B0D">
      <w:pPr>
        <w:keepNext/>
        <w:numPr>
          <w:ilvl w:val="1"/>
          <w:numId w:val="30"/>
        </w:numPr>
        <w:pBdr>
          <w:top w:val="nil"/>
          <w:left w:val="nil"/>
          <w:bottom w:val="nil"/>
          <w:right w:val="nil"/>
          <w:between w:val="nil"/>
        </w:pBdr>
      </w:pPr>
      <w:r>
        <w:rPr>
          <w:color w:val="000000"/>
        </w:rPr>
        <w:t xml:space="preserve">Where the Supplier or a Sub-contractor incorporates a Third-party Software </w:t>
      </w:r>
      <w:proofErr w:type="gramStart"/>
      <w:r>
        <w:rPr>
          <w:color w:val="000000"/>
        </w:rPr>
        <w:t>Module  into</w:t>
      </w:r>
      <w:proofErr w:type="gramEnd"/>
      <w:r>
        <w:rPr>
          <w:color w:val="000000"/>
        </w:rPr>
        <w:t xml:space="preserve"> the Code, the Supplier must:</w:t>
      </w:r>
    </w:p>
    <w:p w:rsidR="005F4C24" w:rsidRDefault="004C2B0D">
      <w:pPr>
        <w:numPr>
          <w:ilvl w:val="2"/>
          <w:numId w:val="30"/>
        </w:numPr>
        <w:pBdr>
          <w:top w:val="nil"/>
          <w:left w:val="nil"/>
          <w:bottom w:val="nil"/>
          <w:right w:val="nil"/>
          <w:between w:val="nil"/>
        </w:pBdr>
      </w:pPr>
      <w:r>
        <w:rPr>
          <w:color w:val="000000"/>
        </w:rPr>
        <w:t>verify the source and integrity of the Third-party Software Module by cryptographic signing or such other measure that provides the same level of assurance;</w:t>
      </w:r>
    </w:p>
    <w:p w:rsidR="005F4C24" w:rsidRDefault="004C2B0D">
      <w:pPr>
        <w:numPr>
          <w:ilvl w:val="2"/>
          <w:numId w:val="30"/>
        </w:numPr>
        <w:pBdr>
          <w:top w:val="nil"/>
          <w:left w:val="nil"/>
          <w:bottom w:val="nil"/>
          <w:right w:val="nil"/>
          <w:between w:val="nil"/>
        </w:pBdr>
      </w:pPr>
      <w:r>
        <w:rPr>
          <w:color w:val="000000"/>
        </w:rPr>
        <w:t>perform adequate due diligence to determine whether there are any recognised security vulnerabilities with that Third-party Software Module;</w:t>
      </w:r>
    </w:p>
    <w:p w:rsidR="005F4C24" w:rsidRDefault="004C2B0D">
      <w:pPr>
        <w:numPr>
          <w:ilvl w:val="2"/>
          <w:numId w:val="30"/>
        </w:numPr>
        <w:pBdr>
          <w:top w:val="nil"/>
          <w:left w:val="nil"/>
          <w:bottom w:val="nil"/>
          <w:right w:val="nil"/>
          <w:between w:val="nil"/>
        </w:pBdr>
      </w:pPr>
      <w:r>
        <w:rPr>
          <w:color w:val="000000"/>
        </w:rPr>
        <w:t>continue to monitor any such Third-party Software Module so as to ensure it promptly becomes aware of any newly-discovered security vulnerabilities;</w:t>
      </w:r>
    </w:p>
    <w:p w:rsidR="005F4C24" w:rsidRDefault="004C2B0D">
      <w:pPr>
        <w:numPr>
          <w:ilvl w:val="2"/>
          <w:numId w:val="30"/>
        </w:numPr>
        <w:pBdr>
          <w:top w:val="nil"/>
          <w:left w:val="nil"/>
          <w:bottom w:val="nil"/>
          <w:right w:val="nil"/>
          <w:between w:val="nil"/>
        </w:pBdr>
      </w:pPr>
      <w:r>
        <w:rPr>
          <w:color w:val="000000"/>
        </w:rPr>
        <w:t>take appropriate steps to minimise the effect of any such security vulnerability on the Developed System.</w:t>
      </w:r>
    </w:p>
    <w:p w:rsidR="005F4C24" w:rsidRDefault="004C2B0D">
      <w:pPr>
        <w:numPr>
          <w:ilvl w:val="1"/>
          <w:numId w:val="30"/>
        </w:numPr>
        <w:pBdr>
          <w:top w:val="nil"/>
          <w:left w:val="nil"/>
          <w:bottom w:val="nil"/>
          <w:right w:val="nil"/>
          <w:between w:val="nil"/>
        </w:pBdr>
      </w:pPr>
      <w:bookmarkStart w:id="148" w:name="_heading=h.3im3ia3" w:colFirst="0" w:colLast="0"/>
      <w:bookmarkEnd w:id="148"/>
      <w:r>
        <w:rPr>
          <w:color w:val="000000"/>
        </w:rPr>
        <w:t xml:space="preserve">The Supplier must produce and maintain a register of all Third-party Software Modules that form part of the </w:t>
      </w:r>
      <w:proofErr w:type="gramStart"/>
      <w:r>
        <w:rPr>
          <w:color w:val="000000"/>
        </w:rPr>
        <w:t>Code  (</w:t>
      </w:r>
      <w:proofErr w:type="gramEnd"/>
      <w:r>
        <w:rPr>
          <w:color w:val="000000"/>
        </w:rPr>
        <w:t>the “</w:t>
      </w:r>
      <w:r>
        <w:rPr>
          <w:b/>
          <w:color w:val="000000"/>
        </w:rPr>
        <w:t>Modules Register</w:t>
      </w:r>
      <w:r>
        <w:rPr>
          <w:color w:val="000000"/>
        </w:rPr>
        <w:t>”).</w:t>
      </w:r>
    </w:p>
    <w:p w:rsidR="005F4C24" w:rsidRDefault="004C2B0D">
      <w:pPr>
        <w:keepNext/>
        <w:numPr>
          <w:ilvl w:val="1"/>
          <w:numId w:val="30"/>
        </w:numPr>
        <w:pBdr>
          <w:top w:val="nil"/>
          <w:left w:val="nil"/>
          <w:bottom w:val="nil"/>
          <w:right w:val="nil"/>
          <w:between w:val="nil"/>
        </w:pBdr>
      </w:pPr>
      <w:r>
        <w:rPr>
          <w:color w:val="000000"/>
        </w:rPr>
        <w:t>The Modules Register must include, in respect of each Third-party Software Module:</w:t>
      </w:r>
    </w:p>
    <w:p w:rsidR="005F4C24" w:rsidRDefault="004C2B0D">
      <w:pPr>
        <w:numPr>
          <w:ilvl w:val="2"/>
          <w:numId w:val="30"/>
        </w:numPr>
        <w:pBdr>
          <w:top w:val="nil"/>
          <w:left w:val="nil"/>
          <w:bottom w:val="nil"/>
          <w:right w:val="nil"/>
          <w:between w:val="nil"/>
        </w:pBdr>
      </w:pPr>
      <w:r>
        <w:rPr>
          <w:color w:val="000000"/>
        </w:rPr>
        <w:t>full details of the developer of the module;</w:t>
      </w:r>
    </w:p>
    <w:p w:rsidR="005F4C24" w:rsidRDefault="004C2B0D">
      <w:pPr>
        <w:numPr>
          <w:ilvl w:val="2"/>
          <w:numId w:val="30"/>
        </w:numPr>
        <w:pBdr>
          <w:top w:val="nil"/>
          <w:left w:val="nil"/>
          <w:bottom w:val="nil"/>
          <w:right w:val="nil"/>
          <w:between w:val="nil"/>
        </w:pBdr>
      </w:pPr>
      <w:r>
        <w:rPr>
          <w:color w:val="000000"/>
        </w:rPr>
        <w:t>the due diligence the Supplier undertook on the Third-party Software Module before deciding to use it;</w:t>
      </w:r>
    </w:p>
    <w:p w:rsidR="005F4C24" w:rsidRDefault="004C2B0D">
      <w:pPr>
        <w:numPr>
          <w:ilvl w:val="2"/>
          <w:numId w:val="30"/>
        </w:numPr>
        <w:pBdr>
          <w:top w:val="nil"/>
          <w:left w:val="nil"/>
          <w:bottom w:val="nil"/>
          <w:right w:val="nil"/>
          <w:between w:val="nil"/>
        </w:pBdr>
      </w:pPr>
      <w:r>
        <w:rPr>
          <w:color w:val="000000"/>
        </w:rPr>
        <w:t>any recognised security vulnerabilities in the Third-party Software Module; and</w:t>
      </w:r>
    </w:p>
    <w:p w:rsidR="005F4C24" w:rsidRDefault="004C2B0D">
      <w:pPr>
        <w:numPr>
          <w:ilvl w:val="2"/>
          <w:numId w:val="30"/>
        </w:numPr>
        <w:pBdr>
          <w:top w:val="nil"/>
          <w:left w:val="nil"/>
          <w:bottom w:val="nil"/>
          <w:right w:val="nil"/>
          <w:between w:val="nil"/>
        </w:pBdr>
      </w:pPr>
      <w:r>
        <w:rPr>
          <w:color w:val="000000"/>
        </w:rPr>
        <w:t>how the Supplier will minimise the effect of any such security vulnerability on the Developed System.</w:t>
      </w:r>
    </w:p>
    <w:p w:rsidR="005F4C24" w:rsidRDefault="004C2B0D">
      <w:pPr>
        <w:keepNext/>
        <w:numPr>
          <w:ilvl w:val="1"/>
          <w:numId w:val="30"/>
        </w:numPr>
        <w:pBdr>
          <w:top w:val="nil"/>
          <w:left w:val="nil"/>
          <w:bottom w:val="nil"/>
          <w:right w:val="nil"/>
          <w:between w:val="nil"/>
        </w:pBdr>
      </w:pPr>
      <w:r>
        <w:rPr>
          <w:color w:val="000000"/>
        </w:rPr>
        <w:t>The Supplier must:</w:t>
      </w:r>
    </w:p>
    <w:p w:rsidR="005F4C24" w:rsidRDefault="004C2B0D">
      <w:pPr>
        <w:keepNext/>
        <w:numPr>
          <w:ilvl w:val="2"/>
          <w:numId w:val="30"/>
        </w:numPr>
        <w:pBdr>
          <w:top w:val="nil"/>
          <w:left w:val="nil"/>
          <w:bottom w:val="nil"/>
          <w:right w:val="nil"/>
          <w:between w:val="nil"/>
        </w:pBdr>
      </w:pPr>
      <w:r>
        <w:rPr>
          <w:color w:val="000000"/>
        </w:rPr>
        <w:t>review and update the Modules Register:</w:t>
      </w:r>
    </w:p>
    <w:p w:rsidR="005F4C24" w:rsidRDefault="004C2B0D">
      <w:pPr>
        <w:numPr>
          <w:ilvl w:val="3"/>
          <w:numId w:val="30"/>
        </w:numPr>
        <w:pBdr>
          <w:top w:val="nil"/>
          <w:left w:val="nil"/>
          <w:bottom w:val="nil"/>
          <w:right w:val="nil"/>
          <w:between w:val="nil"/>
        </w:pBdr>
      </w:pPr>
      <w:r>
        <w:rPr>
          <w:color w:val="000000"/>
        </w:rPr>
        <w:t>within 10 Working Days of becoming aware of a security vulnerability in any Third-party Software Module; and</w:t>
      </w:r>
    </w:p>
    <w:p w:rsidR="005F4C24" w:rsidRDefault="004C2B0D">
      <w:pPr>
        <w:numPr>
          <w:ilvl w:val="3"/>
          <w:numId w:val="30"/>
        </w:numPr>
        <w:pBdr>
          <w:top w:val="nil"/>
          <w:left w:val="nil"/>
          <w:bottom w:val="nil"/>
          <w:right w:val="nil"/>
          <w:between w:val="nil"/>
        </w:pBdr>
      </w:pPr>
      <w:r>
        <w:rPr>
          <w:color w:val="000000"/>
        </w:rPr>
        <w:t>at least once every six months;</w:t>
      </w:r>
    </w:p>
    <w:p w:rsidR="005F4C24" w:rsidRDefault="004C2B0D">
      <w:pPr>
        <w:keepNext/>
        <w:numPr>
          <w:ilvl w:val="2"/>
          <w:numId w:val="30"/>
        </w:numPr>
        <w:pBdr>
          <w:top w:val="nil"/>
          <w:left w:val="nil"/>
          <w:bottom w:val="nil"/>
          <w:right w:val="nil"/>
          <w:between w:val="nil"/>
        </w:pBdr>
      </w:pPr>
      <w:r>
        <w:rPr>
          <w:color w:val="000000"/>
        </w:rPr>
        <w:t>provide the Authority with a copy of the Modules Register:</w:t>
      </w:r>
    </w:p>
    <w:p w:rsidR="005F4C24" w:rsidRDefault="004C2B0D">
      <w:pPr>
        <w:numPr>
          <w:ilvl w:val="3"/>
          <w:numId w:val="30"/>
        </w:numPr>
        <w:pBdr>
          <w:top w:val="nil"/>
          <w:left w:val="nil"/>
          <w:bottom w:val="nil"/>
          <w:right w:val="nil"/>
          <w:between w:val="nil"/>
        </w:pBdr>
      </w:pPr>
      <w:r>
        <w:rPr>
          <w:color w:val="000000"/>
        </w:rPr>
        <w:t>whenever it updates the Modules Register; and</w:t>
      </w:r>
    </w:p>
    <w:p w:rsidR="005F4C24" w:rsidRDefault="004C2B0D">
      <w:pPr>
        <w:numPr>
          <w:ilvl w:val="3"/>
          <w:numId w:val="30"/>
        </w:numPr>
        <w:pBdr>
          <w:top w:val="nil"/>
          <w:left w:val="nil"/>
          <w:bottom w:val="nil"/>
          <w:right w:val="nil"/>
          <w:between w:val="nil"/>
        </w:pBdr>
      </w:pPr>
      <w:r>
        <w:rPr>
          <w:color w:val="000000"/>
        </w:rPr>
        <w:t>otherwise when the Authority requests.</w:t>
      </w:r>
    </w:p>
    <w:p w:rsidR="005F4C24" w:rsidRDefault="004C2B0D">
      <w:pPr>
        <w:pBdr>
          <w:top w:val="nil"/>
          <w:left w:val="nil"/>
          <w:bottom w:val="nil"/>
          <w:right w:val="nil"/>
          <w:between w:val="nil"/>
        </w:pBdr>
        <w:rPr>
          <w:color w:val="000000"/>
        </w:rPr>
      </w:pPr>
      <w:r>
        <w:br w:type="page"/>
      </w:r>
    </w:p>
    <w:p w:rsidR="005F4C24" w:rsidRDefault="004C2B0D">
      <w:pPr>
        <w:keepNext/>
        <w:numPr>
          <w:ilvl w:val="0"/>
          <w:numId w:val="36"/>
        </w:numPr>
        <w:pBdr>
          <w:top w:val="nil"/>
          <w:left w:val="nil"/>
          <w:bottom w:val="nil"/>
          <w:right w:val="nil"/>
          <w:between w:val="nil"/>
        </w:pBdr>
      </w:pPr>
      <w:bookmarkStart w:id="149" w:name="_heading=h.1xrdshw" w:colFirst="0" w:colLast="0"/>
      <w:bookmarkEnd w:id="149"/>
      <w:r>
        <w:rPr>
          <w:color w:val="000000"/>
          <w:sz w:val="28"/>
          <w:szCs w:val="28"/>
        </w:rPr>
        <w:lastRenderedPageBreak/>
        <w:t>Security Working Group</w:t>
      </w:r>
    </w:p>
    <w:p w:rsidR="005F4C24" w:rsidRDefault="005F4C24">
      <w:pPr>
        <w:pBdr>
          <w:top w:val="nil"/>
          <w:left w:val="nil"/>
          <w:bottom w:val="nil"/>
          <w:right w:val="nil"/>
          <w:between w:val="nil"/>
        </w:pBdr>
        <w:rPr>
          <w:color w:val="000000"/>
        </w:rPr>
      </w:pPr>
    </w:p>
    <w:p w:rsidR="005F4C24" w:rsidRDefault="004C2B0D">
      <w:pPr>
        <w:keepNext/>
        <w:numPr>
          <w:ilvl w:val="0"/>
          <w:numId w:val="3"/>
        </w:numPr>
        <w:pBdr>
          <w:top w:val="nil"/>
          <w:left w:val="nil"/>
          <w:bottom w:val="nil"/>
          <w:right w:val="nil"/>
          <w:between w:val="nil"/>
        </w:pBdr>
        <w:spacing w:before="360"/>
      </w:pPr>
      <w:r>
        <w:rPr>
          <w:b/>
          <w:color w:val="000000"/>
          <w:sz w:val="24"/>
          <w:szCs w:val="24"/>
        </w:rPr>
        <w:t>Role of the Security Working Group</w:t>
      </w:r>
    </w:p>
    <w:p w:rsidR="005F4C24" w:rsidRDefault="004C2B0D">
      <w:pPr>
        <w:numPr>
          <w:ilvl w:val="1"/>
          <w:numId w:val="22"/>
        </w:numPr>
        <w:pBdr>
          <w:top w:val="nil"/>
          <w:left w:val="nil"/>
          <w:bottom w:val="nil"/>
          <w:right w:val="nil"/>
          <w:between w:val="nil"/>
        </w:pBdr>
      </w:pPr>
      <w:r>
        <w:rPr>
          <w:color w:val="000000"/>
        </w:rPr>
        <w:t xml:space="preserve">The Security Working Group shall be responsible for the </w:t>
      </w:r>
      <w:r>
        <w:t>review of all security policies and procedures in place for the Supplier activities. It is the place to discuss any concerns between both parties, as well as discuss changes to Supplier systems, personnel, and procedures.</w:t>
      </w:r>
    </w:p>
    <w:p w:rsidR="005F4C24" w:rsidRDefault="004C2B0D">
      <w:pPr>
        <w:keepNext/>
        <w:numPr>
          <w:ilvl w:val="1"/>
          <w:numId w:val="22"/>
        </w:numPr>
        <w:pBdr>
          <w:top w:val="nil"/>
          <w:left w:val="nil"/>
          <w:bottom w:val="nil"/>
          <w:right w:val="nil"/>
          <w:between w:val="nil"/>
        </w:pBdr>
      </w:pPr>
      <w:r>
        <w:rPr>
          <w:color w:val="000000"/>
        </w:rPr>
        <w:t>The Security Working Group:</w:t>
      </w:r>
    </w:p>
    <w:p w:rsidR="005F4C24" w:rsidRDefault="004C2B0D">
      <w:pPr>
        <w:numPr>
          <w:ilvl w:val="2"/>
          <w:numId w:val="22"/>
        </w:numPr>
      </w:pPr>
      <w:r>
        <w:t>To provide GPG with assurance of the information assurance of the Supplier systems and any integrations.</w:t>
      </w:r>
    </w:p>
    <w:p w:rsidR="005F4C24" w:rsidRDefault="004C2B0D">
      <w:pPr>
        <w:numPr>
          <w:ilvl w:val="2"/>
          <w:numId w:val="22"/>
        </w:numPr>
      </w:pPr>
      <w:r>
        <w:t>To provide an open forum for the discussion of any security, information assurance, and data protection discussions around the Supplier service</w:t>
      </w:r>
    </w:p>
    <w:p w:rsidR="005F4C24" w:rsidRDefault="004C2B0D">
      <w:pPr>
        <w:numPr>
          <w:ilvl w:val="2"/>
          <w:numId w:val="22"/>
        </w:numPr>
      </w:pPr>
      <w:r>
        <w:t xml:space="preserve">To ensure that GPG has a view of any and all security alerts and breaches (or near misses) that the Supplier receives for services holding GPG </w:t>
      </w:r>
      <w:proofErr w:type="gramStart"/>
      <w:r>
        <w:t>data..</w:t>
      </w:r>
      <w:proofErr w:type="gramEnd"/>
    </w:p>
    <w:p w:rsidR="005F4C24" w:rsidRDefault="004C2B0D">
      <w:pPr>
        <w:numPr>
          <w:ilvl w:val="2"/>
          <w:numId w:val="22"/>
        </w:numPr>
      </w:pPr>
      <w:r>
        <w:t>To ensure compliance with the contract.</w:t>
      </w:r>
    </w:p>
    <w:p w:rsidR="005F4C24" w:rsidRDefault="004C2B0D">
      <w:pPr>
        <w:numPr>
          <w:ilvl w:val="2"/>
          <w:numId w:val="22"/>
        </w:numPr>
      </w:pPr>
      <w:r>
        <w:t>To ensure that there is a clear understanding of all parties in regards to the proper incident management process.</w:t>
      </w:r>
    </w:p>
    <w:p w:rsidR="005F4C24" w:rsidRDefault="004C2B0D">
      <w:pPr>
        <w:keepNext/>
        <w:numPr>
          <w:ilvl w:val="0"/>
          <w:numId w:val="22"/>
        </w:numPr>
        <w:pBdr>
          <w:top w:val="nil"/>
          <w:left w:val="nil"/>
          <w:bottom w:val="nil"/>
          <w:right w:val="nil"/>
          <w:between w:val="nil"/>
        </w:pBdr>
        <w:spacing w:before="360"/>
      </w:pPr>
      <w:r>
        <w:rPr>
          <w:b/>
          <w:color w:val="000000"/>
          <w:sz w:val="24"/>
          <w:szCs w:val="24"/>
        </w:rPr>
        <w:t>Meetings of the Security Working Group</w:t>
      </w:r>
    </w:p>
    <w:p w:rsidR="005F4C24" w:rsidRDefault="004C2B0D">
      <w:pPr>
        <w:numPr>
          <w:ilvl w:val="0"/>
          <w:numId w:val="37"/>
        </w:numPr>
        <w:pBdr>
          <w:top w:val="nil"/>
          <w:left w:val="nil"/>
          <w:bottom w:val="nil"/>
          <w:right w:val="nil"/>
          <w:between w:val="nil"/>
        </w:pBdr>
      </w:pPr>
      <w:r>
        <w:rPr>
          <w:color w:val="000000"/>
        </w:rPr>
        <w:t>paragraphs 3.4 to 3.7 of Schedule 21 (</w:t>
      </w:r>
      <w:r>
        <w:rPr>
          <w:i/>
          <w:color w:val="000000"/>
        </w:rPr>
        <w:t>Governance</w:t>
      </w:r>
      <w:r>
        <w:rPr>
          <w:color w:val="000000"/>
        </w:rPr>
        <w:t>) shall apply to the Security Working Group as if it were a Board established under that Schedule.</w:t>
      </w:r>
    </w:p>
    <w:p w:rsidR="005F4C24" w:rsidRDefault="004C2B0D">
      <w:pPr>
        <w:keepNext/>
        <w:numPr>
          <w:ilvl w:val="0"/>
          <w:numId w:val="22"/>
        </w:numPr>
        <w:pBdr>
          <w:top w:val="nil"/>
          <w:left w:val="nil"/>
          <w:bottom w:val="nil"/>
          <w:right w:val="nil"/>
          <w:between w:val="nil"/>
        </w:pBdr>
        <w:spacing w:before="360"/>
      </w:pPr>
      <w:r>
        <w:rPr>
          <w:b/>
          <w:color w:val="000000"/>
          <w:sz w:val="24"/>
          <w:szCs w:val="24"/>
        </w:rPr>
        <w:t>Reports to the Security Working Group</w:t>
      </w:r>
    </w:p>
    <w:p w:rsidR="005F4C24" w:rsidRDefault="004C2B0D">
      <w:pPr>
        <w:keepNext/>
        <w:numPr>
          <w:ilvl w:val="1"/>
          <w:numId w:val="22"/>
        </w:numPr>
        <w:pBdr>
          <w:top w:val="nil"/>
          <w:left w:val="nil"/>
          <w:bottom w:val="nil"/>
          <w:right w:val="nil"/>
          <w:between w:val="nil"/>
        </w:pBdr>
      </w:pPr>
      <w:r>
        <w:rPr>
          <w:color w:val="000000"/>
        </w:rPr>
        <w:t>The Supplier must provide the following reports no later than five Working Days before each meeting of the Security Woking Group:</w:t>
      </w:r>
    </w:p>
    <w:p w:rsidR="005F4C24" w:rsidRDefault="004C2B0D">
      <w:pPr>
        <w:numPr>
          <w:ilvl w:val="2"/>
          <w:numId w:val="22"/>
        </w:numPr>
        <w:pBdr>
          <w:top w:val="nil"/>
          <w:left w:val="nil"/>
          <w:bottom w:val="nil"/>
          <w:right w:val="nil"/>
          <w:between w:val="nil"/>
        </w:pBdr>
      </w:pPr>
      <w:r>
        <w:t>Any substantial changes to the Supplier systems, use of third parties, or personnel.</w:t>
      </w:r>
    </w:p>
    <w:p w:rsidR="005F4C24" w:rsidRDefault="004C2B0D">
      <w:pPr>
        <w:numPr>
          <w:ilvl w:val="2"/>
          <w:numId w:val="22"/>
        </w:numPr>
        <w:pBdr>
          <w:top w:val="nil"/>
          <w:left w:val="nil"/>
          <w:bottom w:val="nil"/>
          <w:right w:val="nil"/>
          <w:between w:val="nil"/>
        </w:pBdr>
      </w:pPr>
      <w:r>
        <w:t>Any data breaches.</w:t>
      </w:r>
    </w:p>
    <w:p w:rsidR="005F4C24" w:rsidRDefault="004C2B0D">
      <w:pPr>
        <w:numPr>
          <w:ilvl w:val="2"/>
          <w:numId w:val="22"/>
        </w:numPr>
        <w:pBdr>
          <w:top w:val="nil"/>
          <w:left w:val="nil"/>
          <w:bottom w:val="nil"/>
          <w:right w:val="nil"/>
          <w:between w:val="nil"/>
        </w:pBdr>
      </w:pPr>
      <w:r>
        <w:t>Any security incidents.</w:t>
      </w:r>
    </w:p>
    <w:p w:rsidR="005F4C24" w:rsidRDefault="004C2B0D">
      <w:pPr>
        <w:keepNext/>
        <w:numPr>
          <w:ilvl w:val="0"/>
          <w:numId w:val="22"/>
        </w:numPr>
        <w:pBdr>
          <w:top w:val="nil"/>
          <w:left w:val="nil"/>
          <w:bottom w:val="nil"/>
          <w:right w:val="nil"/>
          <w:between w:val="nil"/>
        </w:pBdr>
        <w:spacing w:before="360"/>
      </w:pPr>
      <w:r>
        <w:rPr>
          <w:b/>
          <w:color w:val="000000"/>
          <w:sz w:val="24"/>
          <w:szCs w:val="24"/>
        </w:rPr>
        <w:t>Administration</w:t>
      </w:r>
    </w:p>
    <w:p w:rsidR="005F4C24" w:rsidRDefault="004C2B0D">
      <w:pPr>
        <w:numPr>
          <w:ilvl w:val="0"/>
          <w:numId w:val="37"/>
        </w:numPr>
        <w:pBdr>
          <w:top w:val="nil"/>
          <w:left w:val="nil"/>
          <w:bottom w:val="nil"/>
          <w:right w:val="nil"/>
          <w:between w:val="nil"/>
        </w:pBdr>
      </w:pPr>
      <w:r>
        <w:t xml:space="preserve">GPG </w:t>
      </w:r>
      <w:r>
        <w:rPr>
          <w:color w:val="000000"/>
        </w:rPr>
        <w:t>is responsible for the secretarial functions of the SWG.</w:t>
      </w:r>
    </w:p>
    <w:p w:rsidR="005F4C24" w:rsidRDefault="004C2B0D">
      <w:pPr>
        <w:pBdr>
          <w:top w:val="nil"/>
          <w:left w:val="nil"/>
          <w:bottom w:val="nil"/>
          <w:right w:val="nil"/>
          <w:between w:val="nil"/>
        </w:pBdr>
        <w:rPr>
          <w:color w:val="000000"/>
        </w:rPr>
      </w:pPr>
      <w:r>
        <w:br w:type="page"/>
      </w:r>
    </w:p>
    <w:p w:rsidR="005F4C24" w:rsidRDefault="004C2B0D">
      <w:pPr>
        <w:keepNext/>
        <w:numPr>
          <w:ilvl w:val="0"/>
          <w:numId w:val="36"/>
        </w:numPr>
        <w:pBdr>
          <w:top w:val="nil"/>
          <w:left w:val="nil"/>
          <w:bottom w:val="nil"/>
          <w:right w:val="nil"/>
          <w:between w:val="nil"/>
        </w:pBdr>
      </w:pPr>
      <w:bookmarkStart w:id="150" w:name="_heading=h.4hr1b5p" w:colFirst="0" w:colLast="0"/>
      <w:bookmarkEnd w:id="150"/>
      <w:r>
        <w:rPr>
          <w:color w:val="000000"/>
          <w:sz w:val="28"/>
          <w:szCs w:val="28"/>
        </w:rPr>
        <w:lastRenderedPageBreak/>
        <w:t>Sub-contractor Security Requirements and Security Requirements for Development</w:t>
      </w:r>
    </w:p>
    <w:p w:rsidR="005F4C24" w:rsidRDefault="004C2B0D">
      <w:pPr>
        <w:keepNext/>
        <w:pBdr>
          <w:top w:val="nil"/>
          <w:left w:val="nil"/>
          <w:bottom w:val="nil"/>
          <w:right w:val="nil"/>
          <w:between w:val="nil"/>
        </w:pBdr>
        <w:rPr>
          <w:sz w:val="28"/>
          <w:szCs w:val="28"/>
          <w:highlight w:val="yellow"/>
        </w:rPr>
      </w:pPr>
      <w:bookmarkStart w:id="151" w:name="_heading=h.u28jat1aaduk" w:colFirst="0" w:colLast="0"/>
      <w:bookmarkEnd w:id="151"/>
      <w:r>
        <w:rPr>
          <w:sz w:val="28"/>
          <w:szCs w:val="28"/>
          <w:highlight w:val="yellow"/>
        </w:rPr>
        <w:t>To be completed on contract award if applicable</w:t>
      </w:r>
    </w:p>
    <w:p w:rsidR="005F4C24" w:rsidRDefault="004C2B0D">
      <w:pPr>
        <w:pBdr>
          <w:top w:val="nil"/>
          <w:left w:val="nil"/>
          <w:bottom w:val="nil"/>
          <w:right w:val="nil"/>
          <w:between w:val="nil"/>
        </w:pBdr>
        <w:rPr>
          <w:color w:val="000000"/>
        </w:rPr>
      </w:pPr>
      <w:r>
        <w:rPr>
          <w:color w:val="000000"/>
        </w:rPr>
        <w:t xml:space="preserve">The table below sets out the Security Requirements and Development Requirements that do </w:t>
      </w:r>
      <w:r>
        <w:rPr>
          <w:b/>
          <w:color w:val="000000"/>
        </w:rPr>
        <w:t>not</w:t>
      </w:r>
      <w:r>
        <w:rPr>
          <w:color w:val="000000"/>
        </w:rPr>
        <w:t xml:space="preserve"> apply to particular categories of Sub-contractors.</w:t>
      </w:r>
    </w:p>
    <w:tbl>
      <w:tblPr>
        <w:tblStyle w:val="af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3"/>
        <w:gridCol w:w="1803"/>
        <w:gridCol w:w="1803"/>
        <w:gridCol w:w="1803"/>
        <w:gridCol w:w="1804"/>
      </w:tblGrid>
      <w:tr w:rsidR="005F4C24">
        <w:tc>
          <w:tcPr>
            <w:tcW w:w="1803" w:type="dxa"/>
          </w:tcPr>
          <w:p w:rsidR="005F4C24" w:rsidRDefault="005F4C24">
            <w:pPr>
              <w:pBdr>
                <w:top w:val="nil"/>
                <w:left w:val="nil"/>
                <w:bottom w:val="nil"/>
                <w:right w:val="nil"/>
                <w:between w:val="nil"/>
              </w:pBdr>
              <w:spacing w:before="120" w:after="120"/>
              <w:rPr>
                <w:rFonts w:ascii="Arial" w:eastAsia="Arial" w:hAnsi="Arial" w:cs="Arial"/>
                <w:b w:val="0"/>
                <w:color w:val="000000"/>
              </w:rPr>
            </w:pPr>
          </w:p>
        </w:tc>
        <w:tc>
          <w:tcPr>
            <w:tcW w:w="1803"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SIMS Sub-contractors</w:t>
            </w:r>
          </w:p>
        </w:tc>
        <w:tc>
          <w:tcPr>
            <w:tcW w:w="1803"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Higher Risk Sub-contractors</w:t>
            </w:r>
          </w:p>
        </w:tc>
        <w:tc>
          <w:tcPr>
            <w:tcW w:w="1803"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Medium Risk Sub-contractors</w:t>
            </w:r>
          </w:p>
        </w:tc>
        <w:tc>
          <w:tcPr>
            <w:tcW w:w="1804"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Sub-contractors</w:t>
            </w:r>
          </w:p>
        </w:tc>
      </w:tr>
      <w:tr w:rsidR="005F4C24">
        <w:tc>
          <w:tcPr>
            <w:tcW w:w="1803"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Security Requirements that do not apply</w:t>
            </w:r>
          </w:p>
        </w:tc>
        <w:tc>
          <w:tcPr>
            <w:tcW w:w="1803" w:type="dxa"/>
          </w:tcPr>
          <w:p w:rsidR="005F4C24" w:rsidRDefault="005F4C24">
            <w:pPr>
              <w:pBdr>
                <w:top w:val="nil"/>
                <w:left w:val="nil"/>
                <w:bottom w:val="nil"/>
                <w:right w:val="nil"/>
                <w:between w:val="nil"/>
              </w:pBdr>
              <w:spacing w:before="120" w:after="120"/>
              <w:rPr>
                <w:rFonts w:ascii="Arial" w:eastAsia="Arial" w:hAnsi="Arial" w:cs="Arial"/>
                <w:b w:val="0"/>
                <w:color w:val="000000"/>
              </w:rPr>
            </w:pPr>
          </w:p>
        </w:tc>
        <w:tc>
          <w:tcPr>
            <w:tcW w:w="1803" w:type="dxa"/>
          </w:tcPr>
          <w:p w:rsidR="005F4C24" w:rsidRDefault="005F4C24">
            <w:pPr>
              <w:pBdr>
                <w:top w:val="nil"/>
                <w:left w:val="nil"/>
                <w:bottom w:val="nil"/>
                <w:right w:val="nil"/>
                <w:between w:val="nil"/>
              </w:pBdr>
              <w:spacing w:before="120" w:after="120"/>
              <w:rPr>
                <w:rFonts w:ascii="Arial" w:eastAsia="Arial" w:hAnsi="Arial" w:cs="Arial"/>
                <w:b w:val="0"/>
                <w:color w:val="000000"/>
              </w:rPr>
            </w:pPr>
          </w:p>
        </w:tc>
        <w:tc>
          <w:tcPr>
            <w:tcW w:w="1803" w:type="dxa"/>
          </w:tcPr>
          <w:p w:rsidR="005F4C24" w:rsidRDefault="005F4C24">
            <w:pPr>
              <w:pBdr>
                <w:top w:val="nil"/>
                <w:left w:val="nil"/>
                <w:bottom w:val="nil"/>
                <w:right w:val="nil"/>
                <w:between w:val="nil"/>
              </w:pBdr>
              <w:spacing w:before="120" w:after="120"/>
              <w:rPr>
                <w:rFonts w:ascii="Arial" w:eastAsia="Arial" w:hAnsi="Arial" w:cs="Arial"/>
                <w:b w:val="0"/>
                <w:color w:val="000000"/>
              </w:rPr>
            </w:pPr>
          </w:p>
        </w:tc>
        <w:tc>
          <w:tcPr>
            <w:tcW w:w="1804" w:type="dxa"/>
          </w:tcPr>
          <w:p w:rsidR="005F4C24" w:rsidRDefault="005F4C24">
            <w:pPr>
              <w:pBdr>
                <w:top w:val="nil"/>
                <w:left w:val="nil"/>
                <w:bottom w:val="nil"/>
                <w:right w:val="nil"/>
                <w:between w:val="nil"/>
              </w:pBdr>
              <w:spacing w:before="120" w:after="120"/>
              <w:rPr>
                <w:rFonts w:ascii="Arial" w:eastAsia="Arial" w:hAnsi="Arial" w:cs="Arial"/>
                <w:b w:val="0"/>
                <w:color w:val="000000"/>
              </w:rPr>
            </w:pPr>
          </w:p>
        </w:tc>
      </w:tr>
      <w:tr w:rsidR="005F4C24">
        <w:tc>
          <w:tcPr>
            <w:tcW w:w="1803" w:type="dxa"/>
          </w:tcPr>
          <w:p w:rsidR="005F4C24" w:rsidRDefault="004C2B0D">
            <w:pPr>
              <w:pBdr>
                <w:top w:val="nil"/>
                <w:left w:val="nil"/>
                <w:bottom w:val="nil"/>
                <w:right w:val="nil"/>
                <w:between w:val="nil"/>
              </w:pBdr>
              <w:spacing w:before="120" w:after="120"/>
              <w:rPr>
                <w:rFonts w:ascii="Arial" w:eastAsia="Arial" w:hAnsi="Arial" w:cs="Arial"/>
                <w:b w:val="0"/>
                <w:color w:val="000000"/>
              </w:rPr>
            </w:pPr>
            <w:r>
              <w:rPr>
                <w:rFonts w:ascii="Arial" w:eastAsia="Arial" w:hAnsi="Arial" w:cs="Arial"/>
                <w:b w:val="0"/>
                <w:color w:val="000000"/>
              </w:rPr>
              <w:t>Development Requirements that do not apply</w:t>
            </w:r>
          </w:p>
        </w:tc>
        <w:tc>
          <w:tcPr>
            <w:tcW w:w="1803" w:type="dxa"/>
          </w:tcPr>
          <w:p w:rsidR="005F4C24" w:rsidRDefault="005F4C24">
            <w:pPr>
              <w:pBdr>
                <w:top w:val="nil"/>
                <w:left w:val="nil"/>
                <w:bottom w:val="nil"/>
                <w:right w:val="nil"/>
                <w:between w:val="nil"/>
              </w:pBdr>
              <w:spacing w:before="120" w:after="120"/>
              <w:rPr>
                <w:rFonts w:ascii="Arial" w:eastAsia="Arial" w:hAnsi="Arial" w:cs="Arial"/>
                <w:b w:val="0"/>
                <w:color w:val="000000"/>
              </w:rPr>
            </w:pPr>
          </w:p>
        </w:tc>
        <w:tc>
          <w:tcPr>
            <w:tcW w:w="1803" w:type="dxa"/>
          </w:tcPr>
          <w:p w:rsidR="005F4C24" w:rsidRDefault="005F4C24">
            <w:pPr>
              <w:pBdr>
                <w:top w:val="nil"/>
                <w:left w:val="nil"/>
                <w:bottom w:val="nil"/>
                <w:right w:val="nil"/>
                <w:between w:val="nil"/>
              </w:pBdr>
              <w:spacing w:before="120" w:after="120"/>
              <w:rPr>
                <w:rFonts w:ascii="Arial" w:eastAsia="Arial" w:hAnsi="Arial" w:cs="Arial"/>
                <w:b w:val="0"/>
                <w:color w:val="000000"/>
              </w:rPr>
            </w:pPr>
          </w:p>
        </w:tc>
        <w:tc>
          <w:tcPr>
            <w:tcW w:w="1803" w:type="dxa"/>
          </w:tcPr>
          <w:p w:rsidR="005F4C24" w:rsidRDefault="005F4C24">
            <w:pPr>
              <w:pBdr>
                <w:top w:val="nil"/>
                <w:left w:val="nil"/>
                <w:bottom w:val="nil"/>
                <w:right w:val="nil"/>
                <w:between w:val="nil"/>
              </w:pBdr>
              <w:spacing w:before="120" w:after="120"/>
              <w:rPr>
                <w:rFonts w:ascii="Arial" w:eastAsia="Arial" w:hAnsi="Arial" w:cs="Arial"/>
                <w:b w:val="0"/>
                <w:color w:val="000000"/>
              </w:rPr>
            </w:pPr>
          </w:p>
        </w:tc>
        <w:tc>
          <w:tcPr>
            <w:tcW w:w="1804" w:type="dxa"/>
          </w:tcPr>
          <w:p w:rsidR="005F4C24" w:rsidRDefault="005F4C24">
            <w:pPr>
              <w:pBdr>
                <w:top w:val="nil"/>
                <w:left w:val="nil"/>
                <w:bottom w:val="nil"/>
                <w:right w:val="nil"/>
                <w:between w:val="nil"/>
              </w:pBdr>
              <w:spacing w:before="120" w:after="120"/>
              <w:rPr>
                <w:rFonts w:ascii="Arial" w:eastAsia="Arial" w:hAnsi="Arial" w:cs="Arial"/>
                <w:b w:val="0"/>
                <w:color w:val="000000"/>
              </w:rPr>
            </w:pPr>
          </w:p>
        </w:tc>
      </w:tr>
    </w:tbl>
    <w:p w:rsidR="005F4C24" w:rsidRDefault="005F4C24">
      <w:pPr>
        <w:pBdr>
          <w:top w:val="nil"/>
          <w:left w:val="nil"/>
          <w:bottom w:val="nil"/>
          <w:right w:val="nil"/>
          <w:between w:val="nil"/>
        </w:pBdr>
        <w:rPr>
          <w:color w:val="000000"/>
        </w:rPr>
      </w:pPr>
    </w:p>
    <w:p w:rsidR="005F4C24" w:rsidRDefault="004C2B0D">
      <w:pPr>
        <w:pBdr>
          <w:top w:val="nil"/>
          <w:left w:val="nil"/>
          <w:bottom w:val="nil"/>
          <w:right w:val="nil"/>
          <w:between w:val="nil"/>
        </w:pBdr>
        <w:rPr>
          <w:color w:val="000000"/>
        </w:rPr>
        <w:sectPr w:rsidR="005F4C24">
          <w:headerReference w:type="even" r:id="rId27"/>
          <w:headerReference w:type="default" r:id="rId28"/>
          <w:footerReference w:type="even" r:id="rId29"/>
          <w:footerReference w:type="default" r:id="rId30"/>
          <w:headerReference w:type="first" r:id="rId31"/>
          <w:footerReference w:type="first" r:id="rId32"/>
          <w:pgSz w:w="11906" w:h="16838"/>
          <w:pgMar w:top="1440" w:right="1440" w:bottom="1797" w:left="1440" w:header="720" w:footer="720" w:gutter="0"/>
          <w:pgNumType w:start="1"/>
          <w:cols w:space="720"/>
        </w:sectPr>
      </w:pPr>
      <w:r>
        <w:br w:type="page"/>
      </w:r>
    </w:p>
    <w:p w:rsidR="005F4C24" w:rsidRDefault="004C2B0D">
      <w:pPr>
        <w:keepNext/>
        <w:numPr>
          <w:ilvl w:val="0"/>
          <w:numId w:val="36"/>
        </w:numPr>
        <w:pBdr>
          <w:top w:val="nil"/>
          <w:left w:val="nil"/>
          <w:bottom w:val="nil"/>
          <w:right w:val="nil"/>
          <w:between w:val="nil"/>
        </w:pBdr>
      </w:pPr>
      <w:bookmarkStart w:id="152" w:name="_heading=h.2wwbldi" w:colFirst="0" w:colLast="0"/>
      <w:bookmarkEnd w:id="152"/>
      <w:r>
        <w:rPr>
          <w:color w:val="000000"/>
          <w:sz w:val="28"/>
          <w:szCs w:val="28"/>
        </w:rPr>
        <w:lastRenderedPageBreak/>
        <w:t xml:space="preserve">Security Management Plan Template </w:t>
      </w:r>
    </w:p>
    <w:p w:rsidR="005F4C24" w:rsidRDefault="004C2B0D">
      <w:pPr>
        <w:keepNext/>
        <w:pBdr>
          <w:top w:val="nil"/>
          <w:left w:val="nil"/>
          <w:bottom w:val="nil"/>
          <w:right w:val="nil"/>
          <w:between w:val="nil"/>
        </w:pBdr>
        <w:rPr>
          <w:highlight w:val="yellow"/>
        </w:rPr>
      </w:pPr>
      <w:bookmarkStart w:id="153" w:name="_heading=h.g493oi2a1vdo" w:colFirst="0" w:colLast="0"/>
      <w:bookmarkEnd w:id="153"/>
      <w:r>
        <w:rPr>
          <w:color w:val="000000"/>
          <w:sz w:val="28"/>
          <w:szCs w:val="28"/>
          <w:highlight w:val="yellow"/>
        </w:rPr>
        <w:t xml:space="preserve">(TO BE </w:t>
      </w:r>
      <w:r>
        <w:rPr>
          <w:sz w:val="28"/>
          <w:szCs w:val="28"/>
          <w:highlight w:val="yellow"/>
        </w:rPr>
        <w:t>COMPLETED</w:t>
      </w:r>
      <w:r>
        <w:rPr>
          <w:color w:val="000000"/>
          <w:sz w:val="28"/>
          <w:szCs w:val="28"/>
          <w:highlight w:val="yellow"/>
        </w:rPr>
        <w:t xml:space="preserve"> BY THE SUPPLIER)</w:t>
      </w:r>
    </w:p>
    <w:p w:rsidR="005F4C24" w:rsidRDefault="005F4C24">
      <w:pPr>
        <w:pBdr>
          <w:top w:val="nil"/>
          <w:left w:val="nil"/>
          <w:bottom w:val="nil"/>
          <w:right w:val="nil"/>
          <w:between w:val="nil"/>
        </w:pBdr>
        <w:rPr>
          <w:color w:val="000000"/>
        </w:rPr>
      </w:pPr>
    </w:p>
    <w:tbl>
      <w:tblPr>
        <w:tblStyle w:val="afb"/>
        <w:tblW w:w="8931" w:type="dxa"/>
        <w:tblBorders>
          <w:top w:val="nil"/>
          <w:left w:val="nil"/>
          <w:bottom w:val="nil"/>
          <w:right w:val="nil"/>
          <w:insideH w:val="nil"/>
          <w:insideV w:val="nil"/>
        </w:tblBorders>
        <w:tblLayout w:type="fixed"/>
        <w:tblLook w:val="0400" w:firstRow="0" w:lastRow="0" w:firstColumn="0" w:lastColumn="0" w:noHBand="0" w:noVBand="1"/>
      </w:tblPr>
      <w:tblGrid>
        <w:gridCol w:w="8931"/>
      </w:tblGrid>
      <w:tr w:rsidR="005F4C24">
        <w:trPr>
          <w:trHeight w:val="4712"/>
        </w:trPr>
        <w:tc>
          <w:tcPr>
            <w:tcW w:w="8931" w:type="dxa"/>
          </w:tcPr>
          <w:p w:rsidR="005F4C24" w:rsidRDefault="005F4C24">
            <w:pPr>
              <w:pStyle w:val="Subtitle"/>
            </w:pPr>
          </w:p>
          <w:p w:rsidR="005F4C24" w:rsidRDefault="004C2B0D">
            <w:pPr>
              <w:pStyle w:val="Title"/>
            </w:pPr>
            <w:r>
              <w:t>Commercial Information Assurance Team</w:t>
            </w:r>
          </w:p>
          <w:p w:rsidR="005F4C24" w:rsidRDefault="004C2B0D">
            <w:pPr>
              <w:rPr>
                <w:color w:val="7D7D7D"/>
                <w:sz w:val="32"/>
                <w:szCs w:val="32"/>
              </w:rPr>
            </w:pPr>
            <w:r>
              <w:rPr>
                <w:color w:val="7D7D7D"/>
                <w:sz w:val="32"/>
                <w:szCs w:val="32"/>
              </w:rPr>
              <w:t xml:space="preserve">Security Management Plan Template </w:t>
            </w:r>
          </w:p>
          <w:p w:rsidR="005F4C24" w:rsidRDefault="004C2B0D">
            <w:pPr>
              <w:rPr>
                <w:color w:val="7D7D7D"/>
                <w:sz w:val="32"/>
                <w:szCs w:val="32"/>
                <w:highlight w:val="yellow"/>
              </w:rPr>
            </w:pPr>
            <w:r>
              <w:rPr>
                <w:rFonts w:ascii="Arial" w:eastAsia="Arial" w:hAnsi="Arial" w:cs="Arial"/>
                <w:b w:val="0"/>
                <w:color w:val="000000"/>
                <w:sz w:val="32"/>
                <w:szCs w:val="32"/>
                <w:highlight w:val="white"/>
              </w:rPr>
              <w:t>Operational Recruitment Support for GRS/GPG</w:t>
            </w:r>
            <w:r>
              <w:rPr>
                <w:color w:val="7D7D7D"/>
                <w:sz w:val="32"/>
                <w:szCs w:val="32"/>
              </w:rPr>
              <w:t xml:space="preserve"> </w:t>
            </w:r>
            <w:r>
              <w:rPr>
                <w:color w:val="7D7D7D"/>
                <w:sz w:val="32"/>
                <w:szCs w:val="32"/>
                <w:highlight w:val="yellow"/>
              </w:rPr>
              <w:t>Supplier Name</w:t>
            </w:r>
          </w:p>
          <w:p w:rsidR="005F4C24" w:rsidRDefault="004C2B0D">
            <w:pPr>
              <w:tabs>
                <w:tab w:val="left" w:pos="4320"/>
              </w:tabs>
              <w:spacing w:before="360"/>
              <w:rPr>
                <w:highlight w:val="yellow"/>
              </w:rPr>
            </w:pPr>
            <w:r>
              <w:rPr>
                <w:color w:val="7D7D7D"/>
                <w:sz w:val="32"/>
                <w:szCs w:val="32"/>
                <w:highlight w:val="yellow"/>
              </w:rPr>
              <w:t>Dated</w:t>
            </w:r>
            <w:r>
              <w:rPr>
                <w:color w:val="7D7D7D"/>
                <w:sz w:val="32"/>
                <w:szCs w:val="32"/>
                <w:highlight w:val="yellow"/>
              </w:rPr>
              <w:tab/>
              <w:t>2023</w:t>
            </w:r>
          </w:p>
        </w:tc>
      </w:tr>
      <w:tr w:rsidR="005F4C24">
        <w:trPr>
          <w:trHeight w:val="989"/>
        </w:trPr>
        <w:tc>
          <w:tcPr>
            <w:tcW w:w="8931" w:type="dxa"/>
          </w:tcPr>
          <w:p w:rsidR="005F4C24" w:rsidRDefault="005F4C24">
            <w:pPr>
              <w:ind w:left="-108"/>
              <w:rPr>
                <w:color w:val="7D7D7D"/>
              </w:rPr>
            </w:pPr>
          </w:p>
        </w:tc>
      </w:tr>
    </w:tbl>
    <w:p w:rsidR="005F4C24" w:rsidRDefault="004C2B0D">
      <w:pPr>
        <w:sectPr w:rsidR="005F4C24">
          <w:headerReference w:type="default" r:id="rId33"/>
          <w:footerReference w:type="default" r:id="rId34"/>
          <w:pgSz w:w="11906" w:h="16838"/>
          <w:pgMar w:top="851" w:right="851" w:bottom="851" w:left="851" w:header="851" w:footer="851" w:gutter="0"/>
          <w:cols w:space="720"/>
        </w:sectPr>
      </w:pPr>
      <w:r>
        <w:rPr>
          <w:rFonts w:ascii="Calibri" w:eastAsia="Calibri" w:hAnsi="Calibri" w:cs="Calibri"/>
          <w:b/>
          <w:noProof/>
          <w:color w:val="000000"/>
        </w:rPr>
        <w:drawing>
          <wp:inline distT="0" distB="0" distL="0" distR="0">
            <wp:extent cx="2202180" cy="792480"/>
            <wp:effectExtent l="0" t="0" r="0" b="0"/>
            <wp:docPr id="67" name="image1.png" descr="https://lh5.googleusercontent.com/UUAtmDa8sU9djT42OydS7NfdzmRlNnXt39TlBsOyz-yvTCNHwaUeK8AK6tUgp9vm7YKCUh5zZ3r37_KoiUKQL3n23pLQ5NwVxKvt4Qkjvhrakbd198lEb5P-RF39L54YVpqPyQsN9kQdjdDd0KFG9w"/>
            <wp:cNvGraphicFramePr/>
            <a:graphic xmlns:a="http://schemas.openxmlformats.org/drawingml/2006/main">
              <a:graphicData uri="http://schemas.openxmlformats.org/drawingml/2006/picture">
                <pic:pic xmlns:pic="http://schemas.openxmlformats.org/drawingml/2006/picture">
                  <pic:nvPicPr>
                    <pic:cNvPr id="0" name="image1.png" descr="https://lh5.googleusercontent.com/UUAtmDa8sU9djT42OydS7NfdzmRlNnXt39TlBsOyz-yvTCNHwaUeK8AK6tUgp9vm7YKCUh5zZ3r37_KoiUKQL3n23pLQ5NwVxKvt4Qkjvhrakbd198lEb5P-RF39L54YVpqPyQsN9kQdjdDd0KFG9w"/>
                    <pic:cNvPicPr preferRelativeResize="0"/>
                  </pic:nvPicPr>
                  <pic:blipFill>
                    <a:blip r:embed="rId35"/>
                    <a:srcRect/>
                    <a:stretch>
                      <a:fillRect/>
                    </a:stretch>
                  </pic:blipFill>
                  <pic:spPr>
                    <a:xfrm>
                      <a:off x="0" y="0"/>
                      <a:ext cx="2202180" cy="792480"/>
                    </a:xfrm>
                    <a:prstGeom prst="rect">
                      <a:avLst/>
                    </a:prstGeom>
                    <a:ln/>
                  </pic:spPr>
                </pic:pic>
              </a:graphicData>
            </a:graphic>
          </wp:inline>
        </w:drawing>
      </w:r>
    </w:p>
    <w:p w:rsidR="005F4C24" w:rsidRDefault="004C2B0D">
      <w:pPr>
        <w:keepNext/>
        <w:pBdr>
          <w:top w:val="nil"/>
          <w:left w:val="nil"/>
          <w:bottom w:val="nil"/>
          <w:right w:val="nil"/>
          <w:between w:val="nil"/>
        </w:pBdr>
        <w:rPr>
          <w:rFonts w:ascii="Cambria" w:eastAsia="Cambria" w:hAnsi="Cambria" w:cs="Cambria"/>
          <w:color w:val="000000"/>
          <w:sz w:val="36"/>
          <w:szCs w:val="36"/>
        </w:rPr>
      </w:pPr>
      <w:r>
        <w:rPr>
          <w:rFonts w:ascii="Cambria" w:eastAsia="Cambria" w:hAnsi="Cambria" w:cs="Cambria"/>
          <w:color w:val="000000"/>
          <w:sz w:val="36"/>
          <w:szCs w:val="36"/>
        </w:rPr>
        <w:lastRenderedPageBreak/>
        <w:t>Contents</w:t>
      </w:r>
    </w:p>
    <w:sdt>
      <w:sdtPr>
        <w:id w:val="-1273399678"/>
        <w:docPartObj>
          <w:docPartGallery w:val="Table of Contents"/>
          <w:docPartUnique/>
        </w:docPartObj>
      </w:sdtPr>
      <w:sdtEndPr/>
      <w:sdtContent>
        <w:p w:rsidR="005F4C24" w:rsidRDefault="004C2B0D">
          <w:pPr>
            <w:pBdr>
              <w:top w:val="nil"/>
              <w:left w:val="nil"/>
              <w:bottom w:val="nil"/>
              <w:right w:val="nil"/>
              <w:between w:val="nil"/>
            </w:pBdr>
            <w:tabs>
              <w:tab w:val="right" w:pos="9029"/>
              <w:tab w:val="left" w:pos="720"/>
            </w:tabs>
            <w:spacing w:after="120"/>
            <w:rPr>
              <w:rFonts w:ascii="Calibri" w:eastAsia="Calibri" w:hAnsi="Calibri" w:cs="Calibri"/>
              <w:color w:val="000000"/>
              <w:sz w:val="22"/>
              <w:szCs w:val="22"/>
            </w:rPr>
          </w:pPr>
          <w:r>
            <w:fldChar w:fldCharType="begin"/>
          </w:r>
          <w:r>
            <w:instrText xml:space="preserve"> TOC \h \u \z \t "Heading 1,1,Heading 2,2,Heading 3,3,Heading 4,4,Heading 5,5,Heading 6,6,"</w:instrText>
          </w:r>
          <w:r>
            <w:fldChar w:fldCharType="separate"/>
          </w:r>
          <w:r>
            <w:rPr>
              <w:smallCaps/>
              <w:color w:val="000000"/>
            </w:rPr>
            <w:t>1</w:t>
          </w:r>
          <w:r>
            <w:rPr>
              <w:rFonts w:ascii="Calibri" w:eastAsia="Calibri" w:hAnsi="Calibri" w:cs="Calibri"/>
              <w:color w:val="000000"/>
              <w:sz w:val="22"/>
              <w:szCs w:val="22"/>
            </w:rPr>
            <w:tab/>
          </w:r>
          <w:r>
            <w:rPr>
              <w:smallCaps/>
              <w:color w:val="000000"/>
            </w:rPr>
            <w:t>Executive summary</w:t>
          </w:r>
          <w:r>
            <w:rPr>
              <w:smallCaps/>
              <w:color w:val="000000"/>
            </w:rPr>
            <w:tab/>
          </w:r>
          <w:r>
            <w:fldChar w:fldCharType="begin"/>
          </w:r>
          <w:r>
            <w:instrText xml:space="preserve"> PAGEREF _heading=h.3w19e94 \h </w:instrText>
          </w:r>
          <w:r>
            <w:fldChar w:fldCharType="separate"/>
          </w:r>
          <w:r>
            <w:rPr>
              <w:smallCaps/>
              <w:color w:val="000000"/>
            </w:rPr>
            <w:t>1</w:t>
          </w:r>
          <w:hyperlink w:anchor="_heading=h.3w19e94" w:history="1"/>
        </w:p>
        <w:p w:rsidR="005F4C24" w:rsidRDefault="004C2B0D">
          <w:pPr>
            <w:pBdr>
              <w:top w:val="nil"/>
              <w:left w:val="nil"/>
              <w:bottom w:val="nil"/>
              <w:right w:val="nil"/>
              <w:between w:val="nil"/>
            </w:pBdr>
            <w:tabs>
              <w:tab w:val="right" w:pos="9029"/>
              <w:tab w:val="left" w:pos="720"/>
            </w:tabs>
            <w:spacing w:after="120"/>
            <w:rPr>
              <w:rFonts w:ascii="Calibri" w:eastAsia="Calibri" w:hAnsi="Calibri" w:cs="Calibri"/>
              <w:color w:val="000000"/>
              <w:sz w:val="22"/>
              <w:szCs w:val="22"/>
            </w:rPr>
          </w:pPr>
          <w:r>
            <w:fldChar w:fldCharType="end"/>
          </w:r>
          <w:r>
            <w:rPr>
              <w:smallCaps/>
              <w:color w:val="000000"/>
            </w:rPr>
            <w:t>2</w:t>
          </w:r>
          <w:r>
            <w:rPr>
              <w:rFonts w:ascii="Calibri" w:eastAsia="Calibri" w:hAnsi="Calibri" w:cs="Calibri"/>
              <w:color w:val="000000"/>
              <w:sz w:val="22"/>
              <w:szCs w:val="22"/>
            </w:rPr>
            <w:tab/>
          </w:r>
          <w:r>
            <w:rPr>
              <w:smallCaps/>
              <w:color w:val="000000"/>
            </w:rPr>
            <w:t>System description</w:t>
          </w:r>
          <w:r>
            <w:rPr>
              <w:smallCaps/>
              <w:color w:val="000000"/>
            </w:rPr>
            <w:tab/>
          </w:r>
          <w:r>
            <w:fldChar w:fldCharType="begin"/>
          </w:r>
          <w:r>
            <w:instrText xml:space="preserve"> PAGEREF _heading=h.1pgrrkc \h </w:instrText>
          </w:r>
          <w:r>
            <w:fldChar w:fldCharType="separate"/>
          </w:r>
          <w:r>
            <w:rPr>
              <w:smallCaps/>
              <w:color w:val="000000"/>
            </w:rPr>
            <w:t>1</w:t>
          </w:r>
          <w:hyperlink w:anchor="_heading=h.1pgrrkc" w:history="1"/>
        </w:p>
        <w:p w:rsidR="005F4C24" w:rsidRDefault="004C2B0D">
          <w:pPr>
            <w:pBdr>
              <w:top w:val="nil"/>
              <w:left w:val="nil"/>
              <w:bottom w:val="nil"/>
              <w:right w:val="nil"/>
              <w:between w:val="nil"/>
            </w:pBdr>
            <w:tabs>
              <w:tab w:val="right" w:pos="9029"/>
              <w:tab w:val="left" w:pos="720"/>
            </w:tabs>
            <w:spacing w:after="120"/>
            <w:rPr>
              <w:rFonts w:ascii="Calibri" w:eastAsia="Calibri" w:hAnsi="Calibri" w:cs="Calibri"/>
              <w:color w:val="000000"/>
              <w:sz w:val="22"/>
              <w:szCs w:val="22"/>
            </w:rPr>
          </w:pPr>
          <w:r>
            <w:fldChar w:fldCharType="end"/>
          </w:r>
          <w:r>
            <w:rPr>
              <w:smallCaps/>
              <w:color w:val="000000"/>
            </w:rPr>
            <w:t>3</w:t>
          </w:r>
          <w:r>
            <w:rPr>
              <w:rFonts w:ascii="Calibri" w:eastAsia="Calibri" w:hAnsi="Calibri" w:cs="Calibri"/>
              <w:color w:val="000000"/>
              <w:sz w:val="22"/>
              <w:szCs w:val="22"/>
            </w:rPr>
            <w:tab/>
          </w:r>
          <w:r>
            <w:rPr>
              <w:smallCaps/>
              <w:color w:val="000000"/>
            </w:rPr>
            <w:t>Risk assessment</w:t>
          </w:r>
          <w:r>
            <w:rPr>
              <w:smallCaps/>
              <w:color w:val="000000"/>
            </w:rPr>
            <w:tab/>
          </w:r>
          <w:r>
            <w:fldChar w:fldCharType="begin"/>
          </w:r>
          <w:r>
            <w:instrText xml:space="preserve"> PAGEREF _heading=h.2olpkfy \h </w:instrText>
          </w:r>
          <w:r>
            <w:fldChar w:fldCharType="separate"/>
          </w:r>
          <w:r>
            <w:rPr>
              <w:smallCaps/>
              <w:color w:val="000000"/>
            </w:rPr>
            <w:t>3</w:t>
          </w:r>
          <w:hyperlink w:anchor="_heading=h.2olpkfy" w:history="1"/>
        </w:p>
        <w:p w:rsidR="005F4C24" w:rsidRDefault="004C2B0D">
          <w:pPr>
            <w:keepNext/>
            <w:pBdr>
              <w:top w:val="nil"/>
              <w:left w:val="nil"/>
              <w:bottom w:val="nil"/>
              <w:right w:val="nil"/>
              <w:between w:val="nil"/>
            </w:pBdr>
            <w:tabs>
              <w:tab w:val="right" w:pos="9029"/>
              <w:tab w:val="left" w:pos="720"/>
            </w:tabs>
            <w:spacing w:after="120"/>
            <w:rPr>
              <w:rFonts w:ascii="Calibri" w:eastAsia="Calibri" w:hAnsi="Calibri" w:cs="Calibri"/>
              <w:color w:val="000000"/>
              <w:sz w:val="22"/>
              <w:szCs w:val="22"/>
            </w:rPr>
          </w:pPr>
          <w:r>
            <w:fldChar w:fldCharType="end"/>
          </w:r>
          <w:r>
            <w:rPr>
              <w:smallCaps/>
              <w:color w:val="000000"/>
            </w:rPr>
            <w:t>4</w:t>
          </w:r>
          <w:r>
            <w:rPr>
              <w:rFonts w:ascii="Calibri" w:eastAsia="Calibri" w:hAnsi="Calibri" w:cs="Calibri"/>
              <w:color w:val="000000"/>
              <w:sz w:val="22"/>
              <w:szCs w:val="22"/>
            </w:rPr>
            <w:tab/>
          </w:r>
          <w:r>
            <w:rPr>
              <w:smallCaps/>
              <w:color w:val="000000"/>
            </w:rPr>
            <w:t>In-service controls</w:t>
          </w:r>
          <w:r>
            <w:rPr>
              <w:smallCaps/>
              <w:color w:val="000000"/>
            </w:rPr>
            <w:tab/>
          </w:r>
          <w:r>
            <w:fldChar w:fldCharType="begin"/>
          </w:r>
          <w:r>
            <w:instrText xml:space="preserve"> PAGEREF _heading=h.13qzunr \h </w:instrText>
          </w:r>
          <w:r>
            <w:fldChar w:fldCharType="separate"/>
          </w:r>
          <w:r>
            <w:rPr>
              <w:smallCaps/>
              <w:color w:val="000000"/>
            </w:rPr>
            <w:t>4</w:t>
          </w:r>
          <w:hyperlink w:anchor="_heading=h.13qzunr" w:history="1"/>
        </w:p>
        <w:p w:rsidR="005F4C24" w:rsidRDefault="004C2B0D">
          <w:pPr>
            <w:pBdr>
              <w:top w:val="nil"/>
              <w:left w:val="nil"/>
              <w:bottom w:val="nil"/>
              <w:right w:val="nil"/>
              <w:between w:val="nil"/>
            </w:pBdr>
            <w:tabs>
              <w:tab w:val="right" w:pos="9029"/>
              <w:tab w:val="left" w:pos="720"/>
            </w:tabs>
            <w:spacing w:after="120"/>
            <w:rPr>
              <w:rFonts w:ascii="Calibri" w:eastAsia="Calibri" w:hAnsi="Calibri" w:cs="Calibri"/>
              <w:color w:val="000000"/>
              <w:sz w:val="22"/>
              <w:szCs w:val="22"/>
            </w:rPr>
          </w:pPr>
          <w:r>
            <w:fldChar w:fldCharType="end"/>
          </w:r>
          <w:r>
            <w:rPr>
              <w:smallCaps/>
              <w:color w:val="000000"/>
            </w:rPr>
            <w:t>5</w:t>
          </w:r>
          <w:r>
            <w:rPr>
              <w:rFonts w:ascii="Calibri" w:eastAsia="Calibri" w:hAnsi="Calibri" w:cs="Calibri"/>
              <w:color w:val="000000"/>
              <w:sz w:val="22"/>
              <w:szCs w:val="22"/>
            </w:rPr>
            <w:tab/>
          </w:r>
          <w:r>
            <w:rPr>
              <w:smallCaps/>
              <w:color w:val="000000"/>
            </w:rPr>
            <w:t xml:space="preserve">Supply chain security and </w:t>
          </w:r>
          <w:proofErr w:type="gramStart"/>
          <w:r>
            <w:rPr>
              <w:smallCaps/>
              <w:color w:val="000000"/>
            </w:rPr>
            <w:t>third party</w:t>
          </w:r>
          <w:proofErr w:type="gramEnd"/>
          <w:r>
            <w:rPr>
              <w:smallCaps/>
              <w:color w:val="000000"/>
            </w:rPr>
            <w:t xml:space="preserve"> subcontractors/tools</w:t>
          </w:r>
          <w:r>
            <w:rPr>
              <w:smallCaps/>
              <w:color w:val="000000"/>
            </w:rPr>
            <w:tab/>
          </w:r>
          <w:r>
            <w:fldChar w:fldCharType="begin"/>
          </w:r>
          <w:r>
            <w:instrText xml:space="preserve"> PAGEREF _heading=h.3nqndbk \h </w:instrText>
          </w:r>
          <w:r>
            <w:fldChar w:fldCharType="separate"/>
          </w:r>
          <w:r>
            <w:rPr>
              <w:smallCaps/>
              <w:color w:val="000000"/>
            </w:rPr>
            <w:t>5</w:t>
          </w:r>
          <w:hyperlink w:anchor="_heading=h.3nqndbk" w:history="1"/>
        </w:p>
        <w:p w:rsidR="005F4C24" w:rsidRDefault="004C2B0D">
          <w:pPr>
            <w:pBdr>
              <w:top w:val="nil"/>
              <w:left w:val="nil"/>
              <w:bottom w:val="nil"/>
              <w:right w:val="nil"/>
              <w:between w:val="nil"/>
            </w:pBdr>
            <w:tabs>
              <w:tab w:val="right" w:pos="9029"/>
              <w:tab w:val="left" w:pos="720"/>
            </w:tabs>
            <w:spacing w:after="120"/>
            <w:rPr>
              <w:rFonts w:ascii="Calibri" w:eastAsia="Calibri" w:hAnsi="Calibri" w:cs="Calibri"/>
              <w:color w:val="000000"/>
              <w:sz w:val="22"/>
              <w:szCs w:val="22"/>
            </w:rPr>
          </w:pPr>
          <w:r>
            <w:fldChar w:fldCharType="end"/>
          </w:r>
          <w:r>
            <w:rPr>
              <w:smallCaps/>
              <w:color w:val="000000"/>
            </w:rPr>
            <w:t>6</w:t>
          </w:r>
          <w:r>
            <w:rPr>
              <w:rFonts w:ascii="Calibri" w:eastAsia="Calibri" w:hAnsi="Calibri" w:cs="Calibri"/>
              <w:color w:val="000000"/>
              <w:sz w:val="22"/>
              <w:szCs w:val="22"/>
            </w:rPr>
            <w:tab/>
          </w:r>
          <w:r>
            <w:rPr>
              <w:smallCaps/>
              <w:color w:val="000000"/>
            </w:rPr>
            <w:t>Security requirements on participating departments, customers and users</w:t>
          </w:r>
          <w:r>
            <w:rPr>
              <w:smallCaps/>
              <w:color w:val="000000"/>
            </w:rPr>
            <w:tab/>
          </w:r>
          <w:r>
            <w:fldChar w:fldCharType="begin"/>
          </w:r>
          <w:r>
            <w:instrText xml:space="preserve"> PAGEREF _heading=h.22vxnjd \h </w:instrText>
          </w:r>
          <w:r>
            <w:fldChar w:fldCharType="separate"/>
          </w:r>
          <w:r>
            <w:rPr>
              <w:smallCaps/>
              <w:color w:val="000000"/>
            </w:rPr>
            <w:t>5</w:t>
          </w:r>
          <w:hyperlink w:anchor="_heading=h.22vxnjd" w:history="1"/>
        </w:p>
        <w:p w:rsidR="005F4C24" w:rsidRDefault="004C2B0D">
          <w:pPr>
            <w:pBdr>
              <w:top w:val="nil"/>
              <w:left w:val="nil"/>
              <w:bottom w:val="nil"/>
              <w:right w:val="nil"/>
              <w:between w:val="nil"/>
            </w:pBdr>
            <w:tabs>
              <w:tab w:val="right" w:pos="9029"/>
              <w:tab w:val="left" w:pos="720"/>
            </w:tabs>
            <w:spacing w:after="120"/>
            <w:rPr>
              <w:rFonts w:ascii="Calibri" w:eastAsia="Calibri" w:hAnsi="Calibri" w:cs="Calibri"/>
              <w:color w:val="000000"/>
              <w:sz w:val="22"/>
              <w:szCs w:val="22"/>
            </w:rPr>
          </w:pPr>
          <w:r>
            <w:fldChar w:fldCharType="end"/>
          </w:r>
          <w:r>
            <w:rPr>
              <w:smallCaps/>
              <w:color w:val="000000"/>
            </w:rPr>
            <w:t>7</w:t>
          </w:r>
          <w:r>
            <w:rPr>
              <w:rFonts w:ascii="Calibri" w:eastAsia="Calibri" w:hAnsi="Calibri" w:cs="Calibri"/>
              <w:color w:val="000000"/>
              <w:sz w:val="22"/>
              <w:szCs w:val="22"/>
            </w:rPr>
            <w:tab/>
          </w:r>
          <w:r>
            <w:rPr>
              <w:smallCaps/>
              <w:color w:val="000000"/>
            </w:rPr>
            <w:t>Personnel security</w:t>
          </w:r>
          <w:r>
            <w:rPr>
              <w:smallCaps/>
              <w:color w:val="000000"/>
            </w:rPr>
            <w:tab/>
          </w:r>
          <w:r>
            <w:fldChar w:fldCharType="begin"/>
          </w:r>
          <w:r>
            <w:instrText xml:space="preserve"> PAGEREF _heading=h.i17xr6 \h </w:instrText>
          </w:r>
          <w:r>
            <w:fldChar w:fldCharType="separate"/>
          </w:r>
          <w:r>
            <w:rPr>
              <w:smallCaps/>
              <w:color w:val="000000"/>
            </w:rPr>
            <w:t>5</w:t>
          </w:r>
          <w:hyperlink w:anchor="_heading=h.i17xr6" w:history="1"/>
        </w:p>
        <w:p w:rsidR="005F4C24" w:rsidRDefault="004C2B0D">
          <w:pPr>
            <w:pBdr>
              <w:top w:val="nil"/>
              <w:left w:val="nil"/>
              <w:bottom w:val="nil"/>
              <w:right w:val="nil"/>
              <w:between w:val="nil"/>
            </w:pBdr>
            <w:tabs>
              <w:tab w:val="right" w:pos="9029"/>
              <w:tab w:val="left" w:pos="720"/>
            </w:tabs>
            <w:spacing w:after="120"/>
            <w:rPr>
              <w:rFonts w:ascii="Calibri" w:eastAsia="Calibri" w:hAnsi="Calibri" w:cs="Calibri"/>
              <w:color w:val="000000"/>
              <w:sz w:val="22"/>
              <w:szCs w:val="22"/>
            </w:rPr>
          </w:pPr>
          <w:r>
            <w:fldChar w:fldCharType="end"/>
          </w:r>
          <w:r>
            <w:rPr>
              <w:smallCaps/>
              <w:color w:val="000000"/>
            </w:rPr>
            <w:t>8</w:t>
          </w:r>
          <w:r>
            <w:rPr>
              <w:rFonts w:ascii="Calibri" w:eastAsia="Calibri" w:hAnsi="Calibri" w:cs="Calibri"/>
              <w:color w:val="000000"/>
              <w:sz w:val="22"/>
              <w:szCs w:val="22"/>
            </w:rPr>
            <w:tab/>
          </w:r>
          <w:r>
            <w:rPr>
              <w:smallCaps/>
              <w:color w:val="000000"/>
            </w:rPr>
            <w:t>Business continuity</w:t>
          </w:r>
          <w:r>
            <w:rPr>
              <w:smallCaps/>
              <w:color w:val="000000"/>
            </w:rPr>
            <w:tab/>
          </w:r>
          <w:r>
            <w:fldChar w:fldCharType="begin"/>
          </w:r>
          <w:r>
            <w:instrText xml:space="preserve"> PAGEREF _heading=h.320vgez \h </w:instrText>
          </w:r>
          <w:r>
            <w:fldChar w:fldCharType="separate"/>
          </w:r>
          <w:r>
            <w:rPr>
              <w:smallCaps/>
              <w:color w:val="000000"/>
            </w:rPr>
            <w:t>6</w:t>
          </w:r>
          <w:hyperlink w:anchor="_heading=h.320vgez" w:history="1"/>
        </w:p>
        <w:p w:rsidR="005F4C24" w:rsidRDefault="004C2B0D">
          <w:pPr>
            <w:pBdr>
              <w:top w:val="nil"/>
              <w:left w:val="nil"/>
              <w:bottom w:val="nil"/>
              <w:right w:val="nil"/>
              <w:between w:val="nil"/>
            </w:pBdr>
            <w:tabs>
              <w:tab w:val="right" w:pos="9029"/>
              <w:tab w:val="left" w:pos="720"/>
            </w:tabs>
            <w:spacing w:after="120"/>
            <w:rPr>
              <w:rFonts w:ascii="Calibri" w:eastAsia="Calibri" w:hAnsi="Calibri" w:cs="Calibri"/>
              <w:color w:val="000000"/>
              <w:sz w:val="22"/>
              <w:szCs w:val="22"/>
            </w:rPr>
          </w:pPr>
          <w:r>
            <w:fldChar w:fldCharType="end"/>
          </w:r>
          <w:r>
            <w:rPr>
              <w:smallCaps/>
              <w:color w:val="000000"/>
            </w:rPr>
            <w:t>9</w:t>
          </w:r>
          <w:r>
            <w:rPr>
              <w:rFonts w:ascii="Calibri" w:eastAsia="Calibri" w:hAnsi="Calibri" w:cs="Calibri"/>
              <w:color w:val="000000"/>
              <w:sz w:val="22"/>
              <w:szCs w:val="22"/>
            </w:rPr>
            <w:tab/>
          </w:r>
          <w:r>
            <w:rPr>
              <w:smallCaps/>
              <w:color w:val="000000"/>
            </w:rPr>
            <w:t>Physical security</w:t>
          </w:r>
          <w:r>
            <w:rPr>
              <w:smallCaps/>
              <w:color w:val="000000"/>
            </w:rPr>
            <w:tab/>
          </w:r>
          <w:r>
            <w:fldChar w:fldCharType="begin"/>
          </w:r>
          <w:r>
            <w:instrText xml:space="preserve"> PAGEREF _heading=h.1h65qms \h </w:instrText>
          </w:r>
          <w:r>
            <w:fldChar w:fldCharType="separate"/>
          </w:r>
          <w:r>
            <w:rPr>
              <w:smallCaps/>
              <w:color w:val="000000"/>
            </w:rPr>
            <w:t>6</w:t>
          </w:r>
          <w:hyperlink w:anchor="_heading=h.1h65qms" w:history="1"/>
        </w:p>
        <w:p w:rsidR="005F4C24" w:rsidRDefault="004C2B0D">
          <w:pPr>
            <w:pBdr>
              <w:top w:val="nil"/>
              <w:left w:val="nil"/>
              <w:bottom w:val="nil"/>
              <w:right w:val="nil"/>
              <w:between w:val="nil"/>
            </w:pBdr>
            <w:tabs>
              <w:tab w:val="right" w:pos="9029"/>
              <w:tab w:val="left" w:pos="720"/>
            </w:tabs>
            <w:spacing w:after="120"/>
            <w:rPr>
              <w:rFonts w:ascii="Calibri" w:eastAsia="Calibri" w:hAnsi="Calibri" w:cs="Calibri"/>
              <w:color w:val="000000"/>
              <w:sz w:val="22"/>
              <w:szCs w:val="22"/>
            </w:rPr>
          </w:pPr>
          <w:r>
            <w:fldChar w:fldCharType="end"/>
          </w:r>
          <w:r>
            <w:rPr>
              <w:smallCaps/>
              <w:color w:val="000000"/>
            </w:rPr>
            <w:t>10</w:t>
          </w:r>
          <w:r>
            <w:rPr>
              <w:rFonts w:ascii="Calibri" w:eastAsia="Calibri" w:hAnsi="Calibri" w:cs="Calibri"/>
              <w:color w:val="000000"/>
              <w:sz w:val="22"/>
              <w:szCs w:val="22"/>
            </w:rPr>
            <w:tab/>
          </w:r>
          <w:r>
            <w:rPr>
              <w:smallCaps/>
              <w:color w:val="000000"/>
            </w:rPr>
            <w:t>Major hardware and software and end of support dates</w:t>
          </w:r>
          <w:r>
            <w:rPr>
              <w:smallCaps/>
              <w:color w:val="000000"/>
            </w:rPr>
            <w:tab/>
          </w:r>
          <w:r>
            <w:fldChar w:fldCharType="begin"/>
          </w:r>
          <w:r>
            <w:instrText xml:space="preserve"> PAGEREF _heading=h.415t9al \h </w:instrText>
          </w:r>
          <w:r>
            <w:fldChar w:fldCharType="separate"/>
          </w:r>
          <w:r>
            <w:rPr>
              <w:smallCaps/>
              <w:color w:val="000000"/>
            </w:rPr>
            <w:t>6</w:t>
          </w:r>
          <w:hyperlink w:anchor="_heading=h.415t9al" w:history="1"/>
        </w:p>
        <w:p w:rsidR="005F4C24" w:rsidRDefault="004C2B0D">
          <w:pPr>
            <w:pBdr>
              <w:top w:val="nil"/>
              <w:left w:val="nil"/>
              <w:bottom w:val="nil"/>
              <w:right w:val="nil"/>
              <w:between w:val="nil"/>
            </w:pBdr>
            <w:tabs>
              <w:tab w:val="right" w:pos="9029"/>
              <w:tab w:val="left" w:pos="720"/>
            </w:tabs>
            <w:spacing w:after="120"/>
            <w:rPr>
              <w:rFonts w:ascii="Calibri" w:eastAsia="Calibri" w:hAnsi="Calibri" w:cs="Calibri"/>
              <w:color w:val="000000"/>
              <w:sz w:val="22"/>
              <w:szCs w:val="22"/>
            </w:rPr>
          </w:pPr>
          <w:r>
            <w:fldChar w:fldCharType="end"/>
          </w:r>
          <w:r>
            <w:rPr>
              <w:smallCaps/>
              <w:color w:val="000000"/>
            </w:rPr>
            <w:t>11</w:t>
          </w:r>
          <w:r>
            <w:rPr>
              <w:rFonts w:ascii="Calibri" w:eastAsia="Calibri" w:hAnsi="Calibri" w:cs="Calibri"/>
              <w:color w:val="000000"/>
              <w:sz w:val="22"/>
              <w:szCs w:val="22"/>
            </w:rPr>
            <w:tab/>
          </w:r>
          <w:r>
            <w:rPr>
              <w:smallCaps/>
              <w:color w:val="000000"/>
            </w:rPr>
            <w:t>Incident management process</w:t>
          </w:r>
          <w:r>
            <w:rPr>
              <w:smallCaps/>
              <w:color w:val="000000"/>
            </w:rPr>
            <w:tab/>
          </w:r>
          <w:r>
            <w:fldChar w:fldCharType="begin"/>
          </w:r>
          <w:r>
            <w:instrText xml:space="preserve"> PAGEREF _heading=h.vgdtq7 \h </w:instrText>
          </w:r>
          <w:r>
            <w:fldChar w:fldCharType="separate"/>
          </w:r>
          <w:r>
            <w:rPr>
              <w:smallCaps/>
              <w:color w:val="000000"/>
            </w:rPr>
            <w:t>6</w:t>
          </w:r>
          <w:hyperlink w:anchor="_heading=h.vgdtq7" w:history="1"/>
        </w:p>
        <w:p w:rsidR="005F4C24" w:rsidRDefault="004C2B0D">
          <w:pPr>
            <w:pBdr>
              <w:top w:val="nil"/>
              <w:left w:val="nil"/>
              <w:bottom w:val="nil"/>
              <w:right w:val="nil"/>
              <w:between w:val="nil"/>
            </w:pBdr>
            <w:tabs>
              <w:tab w:val="right" w:pos="9029"/>
              <w:tab w:val="left" w:pos="720"/>
            </w:tabs>
            <w:spacing w:after="120"/>
            <w:rPr>
              <w:rFonts w:ascii="Calibri" w:eastAsia="Calibri" w:hAnsi="Calibri" w:cs="Calibri"/>
              <w:color w:val="000000"/>
              <w:sz w:val="22"/>
              <w:szCs w:val="22"/>
            </w:rPr>
          </w:pPr>
          <w:r>
            <w:fldChar w:fldCharType="end"/>
          </w:r>
          <w:r>
            <w:rPr>
              <w:smallCaps/>
              <w:color w:val="000000"/>
            </w:rPr>
            <w:t>12</w:t>
          </w:r>
          <w:r>
            <w:rPr>
              <w:rFonts w:ascii="Calibri" w:eastAsia="Calibri" w:hAnsi="Calibri" w:cs="Calibri"/>
              <w:color w:val="000000"/>
              <w:sz w:val="22"/>
              <w:szCs w:val="22"/>
            </w:rPr>
            <w:tab/>
          </w:r>
          <w:r>
            <w:rPr>
              <w:smallCaps/>
              <w:color w:val="000000"/>
            </w:rPr>
            <w:t>Required changes register</w:t>
          </w:r>
          <w:r>
            <w:rPr>
              <w:smallCaps/>
              <w:color w:val="000000"/>
            </w:rPr>
            <w:tab/>
          </w:r>
          <w:r>
            <w:fldChar w:fldCharType="begin"/>
          </w:r>
          <w:r>
            <w:instrText xml:space="preserve"> PAGEREF _heading=h.3fg1ce0 \h </w:instrText>
          </w:r>
          <w:r>
            <w:fldChar w:fldCharType="separate"/>
          </w:r>
          <w:r>
            <w:rPr>
              <w:smallCaps/>
              <w:color w:val="000000"/>
            </w:rPr>
            <w:t>7</w:t>
          </w:r>
          <w:hyperlink w:anchor="_heading=h.3fg1ce0" w:history="1"/>
        </w:p>
        <w:p w:rsidR="005F4C24" w:rsidRDefault="004C2B0D">
          <w:pPr>
            <w:spacing w:after="0"/>
          </w:pPr>
          <w:r>
            <w:fldChar w:fldCharType="end"/>
          </w:r>
          <w:r>
            <w:fldChar w:fldCharType="end"/>
          </w:r>
        </w:p>
      </w:sdtContent>
    </w:sdt>
    <w:p w:rsidR="005F4C24" w:rsidRDefault="004C2B0D">
      <w:pPr>
        <w:spacing w:after="120"/>
        <w:rPr>
          <w:color w:val="7D7D7D"/>
        </w:rPr>
      </w:pPr>
      <w:r>
        <w:rPr>
          <w:color w:val="7D7D7D"/>
        </w:rPr>
        <w:t>APPENDICES</w:t>
      </w:r>
    </w:p>
    <w:p w:rsidR="005F4C24" w:rsidRDefault="001D0A32">
      <w:pPr>
        <w:pBdr>
          <w:top w:val="nil"/>
          <w:left w:val="nil"/>
          <w:bottom w:val="nil"/>
          <w:right w:val="nil"/>
          <w:between w:val="nil"/>
        </w:pBdr>
        <w:tabs>
          <w:tab w:val="right" w:pos="9029"/>
        </w:tabs>
        <w:spacing w:after="120"/>
        <w:rPr>
          <w:rFonts w:ascii="Calibri" w:eastAsia="Calibri" w:hAnsi="Calibri" w:cs="Calibri"/>
          <w:color w:val="000000"/>
          <w:sz w:val="22"/>
          <w:szCs w:val="22"/>
        </w:rPr>
      </w:pPr>
      <w:hyperlink w:anchor="_heading=h.4ekz59m">
        <w:r w:rsidR="004C2B0D">
          <w:rPr>
            <w:smallCaps/>
            <w:color w:val="0563C1"/>
            <w:u w:val="single"/>
          </w:rPr>
          <w:t>Appendix 1 ISO27001 and/or cyber essential plus certificates</w:t>
        </w:r>
      </w:hyperlink>
    </w:p>
    <w:p w:rsidR="005F4C24" w:rsidRDefault="001D0A32">
      <w:pPr>
        <w:pBdr>
          <w:top w:val="nil"/>
          <w:left w:val="nil"/>
          <w:bottom w:val="nil"/>
          <w:right w:val="nil"/>
          <w:between w:val="nil"/>
        </w:pBdr>
        <w:tabs>
          <w:tab w:val="right" w:pos="9029"/>
        </w:tabs>
        <w:spacing w:after="120"/>
        <w:rPr>
          <w:rFonts w:ascii="Calibri" w:eastAsia="Calibri" w:hAnsi="Calibri" w:cs="Calibri"/>
          <w:color w:val="000000"/>
          <w:sz w:val="22"/>
          <w:szCs w:val="22"/>
        </w:rPr>
      </w:pPr>
      <w:hyperlink w:anchor="_heading=h.2tq9fhf">
        <w:r w:rsidR="004C2B0D">
          <w:rPr>
            <w:smallCaps/>
            <w:color w:val="0563C1"/>
            <w:u w:val="single"/>
          </w:rPr>
          <w:t>Appendix 2 Cloud security principles assessment</w:t>
        </w:r>
      </w:hyperlink>
    </w:p>
    <w:p w:rsidR="005F4C24" w:rsidRDefault="001D0A32">
      <w:pPr>
        <w:pBdr>
          <w:top w:val="nil"/>
          <w:left w:val="nil"/>
          <w:bottom w:val="nil"/>
          <w:right w:val="nil"/>
          <w:between w:val="nil"/>
        </w:pBdr>
        <w:tabs>
          <w:tab w:val="right" w:pos="9029"/>
        </w:tabs>
        <w:spacing w:after="120"/>
        <w:rPr>
          <w:rFonts w:ascii="Calibri" w:eastAsia="Calibri" w:hAnsi="Calibri" w:cs="Calibri"/>
          <w:color w:val="000000"/>
          <w:sz w:val="22"/>
          <w:szCs w:val="22"/>
        </w:rPr>
      </w:pPr>
      <w:hyperlink w:anchor="_heading=h.18vjpp8">
        <w:r w:rsidR="004C2B0D">
          <w:rPr>
            <w:smallCaps/>
            <w:color w:val="0563C1"/>
            <w:u w:val="single"/>
          </w:rPr>
          <w:t>Appendix 3 Protecting bulk data assessment if required by the authority/customer</w:t>
        </w:r>
      </w:hyperlink>
    </w:p>
    <w:p w:rsidR="005F4C24" w:rsidRDefault="001D0A32">
      <w:pPr>
        <w:pBdr>
          <w:top w:val="nil"/>
          <w:left w:val="nil"/>
          <w:bottom w:val="nil"/>
          <w:right w:val="nil"/>
          <w:between w:val="nil"/>
        </w:pBdr>
        <w:tabs>
          <w:tab w:val="right" w:pos="9029"/>
        </w:tabs>
        <w:spacing w:after="120"/>
        <w:rPr>
          <w:rFonts w:ascii="Calibri" w:eastAsia="Calibri" w:hAnsi="Calibri" w:cs="Calibri"/>
          <w:color w:val="000000"/>
          <w:sz w:val="22"/>
          <w:szCs w:val="22"/>
        </w:rPr>
      </w:pPr>
      <w:hyperlink w:anchor="_heading=h.3sv78d1">
        <w:r w:rsidR="004C2B0D">
          <w:rPr>
            <w:smallCaps/>
            <w:color w:val="0563C1"/>
            <w:u w:val="single"/>
          </w:rPr>
          <w:t>Appendix 4 Latest ITHC report and vulnerability correction plan</w:t>
        </w:r>
      </w:hyperlink>
    </w:p>
    <w:p w:rsidR="005F4C24" w:rsidRDefault="001D0A32">
      <w:pPr>
        <w:pBdr>
          <w:top w:val="nil"/>
          <w:left w:val="nil"/>
          <w:bottom w:val="nil"/>
          <w:right w:val="nil"/>
          <w:between w:val="nil"/>
        </w:pBdr>
        <w:tabs>
          <w:tab w:val="right" w:pos="9029"/>
        </w:tabs>
        <w:spacing w:after="120"/>
        <w:rPr>
          <w:rFonts w:ascii="Calibri" w:eastAsia="Calibri" w:hAnsi="Calibri" w:cs="Calibri"/>
          <w:color w:val="000000"/>
          <w:sz w:val="22"/>
          <w:szCs w:val="22"/>
        </w:rPr>
        <w:sectPr w:rsidR="005F4C24">
          <w:footerReference w:type="default" r:id="rId36"/>
          <w:pgSz w:w="11906" w:h="16838"/>
          <w:pgMar w:top="1440" w:right="1106" w:bottom="1797" w:left="1440" w:header="720" w:footer="720" w:gutter="0"/>
          <w:cols w:space="720"/>
        </w:sectPr>
      </w:pPr>
      <w:hyperlink w:anchor="_heading=h.280hiku">
        <w:r w:rsidR="004C2B0D">
          <w:rPr>
            <w:smallCaps/>
            <w:color w:val="0563C1"/>
            <w:u w:val="single"/>
          </w:rPr>
          <w:t>Appendix 5 Statement of applicability</w:t>
        </w:r>
      </w:hyperlink>
    </w:p>
    <w:p w:rsidR="005F4C24" w:rsidRDefault="004C2B0D">
      <w:pPr>
        <w:keepNext/>
        <w:numPr>
          <w:ilvl w:val="0"/>
          <w:numId w:val="19"/>
        </w:numPr>
        <w:pBdr>
          <w:top w:val="nil"/>
          <w:left w:val="nil"/>
          <w:bottom w:val="nil"/>
          <w:right w:val="nil"/>
          <w:between w:val="nil"/>
        </w:pBdr>
        <w:spacing w:before="360"/>
      </w:pPr>
      <w:bookmarkStart w:id="154" w:name="_heading=h.3w19e94" w:colFirst="0" w:colLast="0"/>
      <w:bookmarkEnd w:id="154"/>
      <w:r>
        <w:rPr>
          <w:b/>
          <w:color w:val="000000"/>
          <w:sz w:val="24"/>
          <w:szCs w:val="24"/>
        </w:rPr>
        <w:lastRenderedPageBreak/>
        <w:t>Executive summary</w:t>
      </w:r>
    </w:p>
    <w:p w:rsidR="005F4C24" w:rsidRDefault="004C2B0D">
      <w:pPr>
        <w:keepNext/>
        <w:numPr>
          <w:ilvl w:val="0"/>
          <w:numId w:val="37"/>
        </w:numPr>
        <w:pBdr>
          <w:top w:val="nil"/>
          <w:left w:val="nil"/>
          <w:bottom w:val="nil"/>
          <w:right w:val="nil"/>
          <w:between w:val="nil"/>
        </w:pBdr>
      </w:pPr>
      <w:r>
        <w:rPr>
          <w:color w:val="000000"/>
        </w:rPr>
        <w:t>[</w:t>
      </w:r>
      <w:r>
        <w:rPr>
          <w:i/>
          <w:color w:val="000000"/>
        </w:rPr>
        <w:t>This section should contain a brief summary of the business context of the system, the assurance work done, any off-shoring considerations and any significant residual risks that need acceptance</w:t>
      </w:r>
      <w:r>
        <w:rPr>
          <w:color w:val="000000"/>
        </w:rPr>
        <w:t>.]</w:t>
      </w:r>
    </w:p>
    <w:p w:rsidR="005F4C24" w:rsidRDefault="004C2B0D">
      <w:pPr>
        <w:keepNext/>
        <w:numPr>
          <w:ilvl w:val="1"/>
          <w:numId w:val="19"/>
        </w:numPr>
        <w:pBdr>
          <w:top w:val="nil"/>
          <w:left w:val="nil"/>
          <w:bottom w:val="nil"/>
          <w:right w:val="nil"/>
          <w:between w:val="nil"/>
        </w:pBdr>
        <w:rPr>
          <w:b/>
          <w:color w:val="000000"/>
        </w:rPr>
      </w:pPr>
      <w:r>
        <w:rPr>
          <w:b/>
          <w:color w:val="000000"/>
        </w:rPr>
        <w:t>Change history</w:t>
      </w:r>
    </w:p>
    <w:tbl>
      <w:tblPr>
        <w:tblStyle w:val="afc"/>
        <w:tblW w:w="828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2"/>
        <w:gridCol w:w="1620"/>
        <w:gridCol w:w="1275"/>
        <w:gridCol w:w="4323"/>
      </w:tblGrid>
      <w:tr w:rsidR="005F4C24">
        <w:tc>
          <w:tcPr>
            <w:tcW w:w="1062" w:type="dxa"/>
            <w:shd w:val="clear" w:color="auto" w:fill="D9D9D9"/>
          </w:tcPr>
          <w:p w:rsidR="005F4C24" w:rsidRDefault="004C2B0D">
            <w:pPr>
              <w:pBdr>
                <w:top w:val="nil"/>
                <w:left w:val="nil"/>
                <w:bottom w:val="nil"/>
                <w:right w:val="nil"/>
                <w:between w:val="nil"/>
              </w:pBdr>
              <w:spacing w:before="120" w:after="120"/>
            </w:pPr>
            <w:r>
              <w:t>Version Number</w:t>
            </w:r>
          </w:p>
        </w:tc>
        <w:tc>
          <w:tcPr>
            <w:tcW w:w="1620" w:type="dxa"/>
            <w:shd w:val="clear" w:color="auto" w:fill="D9D9D9"/>
          </w:tcPr>
          <w:p w:rsidR="005F4C24" w:rsidRDefault="004C2B0D">
            <w:pPr>
              <w:pBdr>
                <w:top w:val="nil"/>
                <w:left w:val="nil"/>
                <w:bottom w:val="nil"/>
                <w:right w:val="nil"/>
                <w:between w:val="nil"/>
              </w:pBdr>
              <w:spacing w:before="120" w:after="120"/>
            </w:pPr>
            <w:r>
              <w:t>Date of Change</w:t>
            </w:r>
          </w:p>
        </w:tc>
        <w:tc>
          <w:tcPr>
            <w:tcW w:w="1275" w:type="dxa"/>
            <w:shd w:val="clear" w:color="auto" w:fill="D9D9D9"/>
          </w:tcPr>
          <w:p w:rsidR="005F4C24" w:rsidRDefault="004C2B0D">
            <w:pPr>
              <w:pBdr>
                <w:top w:val="nil"/>
                <w:left w:val="nil"/>
                <w:bottom w:val="nil"/>
                <w:right w:val="nil"/>
                <w:between w:val="nil"/>
              </w:pBdr>
              <w:spacing w:before="120" w:after="120"/>
            </w:pPr>
            <w:r>
              <w:t>Change made by</w:t>
            </w:r>
          </w:p>
        </w:tc>
        <w:tc>
          <w:tcPr>
            <w:tcW w:w="4323" w:type="dxa"/>
            <w:shd w:val="clear" w:color="auto" w:fill="D9D9D9"/>
          </w:tcPr>
          <w:p w:rsidR="005F4C24" w:rsidRDefault="004C2B0D">
            <w:pPr>
              <w:pBdr>
                <w:top w:val="nil"/>
                <w:left w:val="nil"/>
                <w:bottom w:val="nil"/>
                <w:right w:val="nil"/>
                <w:between w:val="nil"/>
              </w:pBdr>
              <w:spacing w:before="120" w:after="120"/>
            </w:pPr>
            <w:r>
              <w:t>Nature and reason for change</w:t>
            </w:r>
          </w:p>
        </w:tc>
      </w:tr>
      <w:tr w:rsidR="005F4C24">
        <w:tc>
          <w:tcPr>
            <w:tcW w:w="1062" w:type="dxa"/>
          </w:tcPr>
          <w:p w:rsidR="005F4C24" w:rsidRDefault="005F4C24">
            <w:pPr>
              <w:pBdr>
                <w:top w:val="nil"/>
                <w:left w:val="nil"/>
                <w:bottom w:val="nil"/>
                <w:right w:val="nil"/>
                <w:between w:val="nil"/>
              </w:pBdr>
              <w:spacing w:before="120" w:after="120"/>
            </w:pPr>
          </w:p>
        </w:tc>
        <w:tc>
          <w:tcPr>
            <w:tcW w:w="1620" w:type="dxa"/>
          </w:tcPr>
          <w:p w:rsidR="005F4C24" w:rsidRDefault="005F4C24">
            <w:pPr>
              <w:pBdr>
                <w:top w:val="nil"/>
                <w:left w:val="nil"/>
                <w:bottom w:val="nil"/>
                <w:right w:val="nil"/>
                <w:between w:val="nil"/>
              </w:pBdr>
              <w:spacing w:before="120" w:after="120"/>
            </w:pPr>
          </w:p>
        </w:tc>
        <w:tc>
          <w:tcPr>
            <w:tcW w:w="1275" w:type="dxa"/>
          </w:tcPr>
          <w:p w:rsidR="005F4C24" w:rsidRDefault="005F4C24">
            <w:pPr>
              <w:pBdr>
                <w:top w:val="nil"/>
                <w:left w:val="nil"/>
                <w:bottom w:val="nil"/>
                <w:right w:val="nil"/>
                <w:between w:val="nil"/>
              </w:pBdr>
              <w:spacing w:before="120" w:after="120"/>
            </w:pPr>
          </w:p>
        </w:tc>
        <w:tc>
          <w:tcPr>
            <w:tcW w:w="4323" w:type="dxa"/>
          </w:tcPr>
          <w:p w:rsidR="005F4C24" w:rsidRDefault="005F4C24">
            <w:pPr>
              <w:pBdr>
                <w:top w:val="nil"/>
                <w:left w:val="nil"/>
                <w:bottom w:val="nil"/>
                <w:right w:val="nil"/>
                <w:between w:val="nil"/>
              </w:pBdr>
              <w:spacing w:before="120" w:after="120"/>
            </w:pPr>
          </w:p>
        </w:tc>
      </w:tr>
      <w:tr w:rsidR="005F4C24">
        <w:tc>
          <w:tcPr>
            <w:tcW w:w="1062" w:type="dxa"/>
          </w:tcPr>
          <w:p w:rsidR="005F4C24" w:rsidRDefault="005F4C24">
            <w:pPr>
              <w:pBdr>
                <w:top w:val="nil"/>
                <w:left w:val="nil"/>
                <w:bottom w:val="nil"/>
                <w:right w:val="nil"/>
                <w:between w:val="nil"/>
              </w:pBdr>
              <w:spacing w:before="120" w:after="120"/>
            </w:pPr>
          </w:p>
        </w:tc>
        <w:tc>
          <w:tcPr>
            <w:tcW w:w="1620" w:type="dxa"/>
          </w:tcPr>
          <w:p w:rsidR="005F4C24" w:rsidRDefault="005F4C24">
            <w:pPr>
              <w:pBdr>
                <w:top w:val="nil"/>
                <w:left w:val="nil"/>
                <w:bottom w:val="nil"/>
                <w:right w:val="nil"/>
                <w:between w:val="nil"/>
              </w:pBdr>
              <w:spacing w:before="120" w:after="120"/>
            </w:pPr>
          </w:p>
        </w:tc>
        <w:tc>
          <w:tcPr>
            <w:tcW w:w="1275" w:type="dxa"/>
          </w:tcPr>
          <w:p w:rsidR="005F4C24" w:rsidRDefault="005F4C24">
            <w:pPr>
              <w:pBdr>
                <w:top w:val="nil"/>
                <w:left w:val="nil"/>
                <w:bottom w:val="nil"/>
                <w:right w:val="nil"/>
                <w:between w:val="nil"/>
              </w:pBdr>
              <w:spacing w:before="120" w:after="120"/>
            </w:pPr>
          </w:p>
        </w:tc>
        <w:tc>
          <w:tcPr>
            <w:tcW w:w="4323" w:type="dxa"/>
          </w:tcPr>
          <w:p w:rsidR="005F4C24" w:rsidRDefault="005F4C24">
            <w:pPr>
              <w:pBdr>
                <w:top w:val="nil"/>
                <w:left w:val="nil"/>
                <w:bottom w:val="nil"/>
                <w:right w:val="nil"/>
                <w:between w:val="nil"/>
              </w:pBdr>
              <w:spacing w:before="120" w:after="120"/>
            </w:pPr>
          </w:p>
        </w:tc>
      </w:tr>
      <w:tr w:rsidR="005F4C24">
        <w:tc>
          <w:tcPr>
            <w:tcW w:w="1062" w:type="dxa"/>
          </w:tcPr>
          <w:p w:rsidR="005F4C24" w:rsidRDefault="005F4C24">
            <w:pPr>
              <w:pBdr>
                <w:top w:val="nil"/>
                <w:left w:val="nil"/>
                <w:bottom w:val="nil"/>
                <w:right w:val="nil"/>
                <w:between w:val="nil"/>
              </w:pBdr>
              <w:spacing w:before="120" w:after="120"/>
            </w:pPr>
          </w:p>
        </w:tc>
        <w:tc>
          <w:tcPr>
            <w:tcW w:w="1620" w:type="dxa"/>
          </w:tcPr>
          <w:p w:rsidR="005F4C24" w:rsidRDefault="005F4C24">
            <w:pPr>
              <w:pBdr>
                <w:top w:val="nil"/>
                <w:left w:val="nil"/>
                <w:bottom w:val="nil"/>
                <w:right w:val="nil"/>
                <w:between w:val="nil"/>
              </w:pBdr>
              <w:spacing w:before="120" w:after="120"/>
            </w:pPr>
          </w:p>
        </w:tc>
        <w:tc>
          <w:tcPr>
            <w:tcW w:w="1275" w:type="dxa"/>
          </w:tcPr>
          <w:p w:rsidR="005F4C24" w:rsidRDefault="005F4C24">
            <w:pPr>
              <w:pBdr>
                <w:top w:val="nil"/>
                <w:left w:val="nil"/>
                <w:bottom w:val="nil"/>
                <w:right w:val="nil"/>
                <w:between w:val="nil"/>
              </w:pBdr>
              <w:spacing w:before="120" w:after="120"/>
            </w:pPr>
          </w:p>
        </w:tc>
        <w:tc>
          <w:tcPr>
            <w:tcW w:w="4323" w:type="dxa"/>
          </w:tcPr>
          <w:p w:rsidR="005F4C24" w:rsidRDefault="005F4C24">
            <w:pPr>
              <w:pBdr>
                <w:top w:val="nil"/>
                <w:left w:val="nil"/>
                <w:bottom w:val="nil"/>
                <w:right w:val="nil"/>
                <w:between w:val="nil"/>
              </w:pBdr>
              <w:spacing w:before="120" w:after="120"/>
            </w:pPr>
          </w:p>
        </w:tc>
      </w:tr>
    </w:tbl>
    <w:p w:rsidR="005F4C24" w:rsidRDefault="005F4C24">
      <w:pPr>
        <w:pBdr>
          <w:top w:val="nil"/>
          <w:left w:val="nil"/>
          <w:bottom w:val="nil"/>
          <w:right w:val="nil"/>
          <w:between w:val="nil"/>
        </w:pBdr>
        <w:spacing w:after="0"/>
        <w:rPr>
          <w:color w:val="000000"/>
        </w:rPr>
      </w:pPr>
    </w:p>
    <w:p w:rsidR="005F4C24" w:rsidRDefault="004C2B0D">
      <w:pPr>
        <w:keepNext/>
        <w:numPr>
          <w:ilvl w:val="1"/>
          <w:numId w:val="19"/>
        </w:numPr>
        <w:pBdr>
          <w:top w:val="nil"/>
          <w:left w:val="nil"/>
          <w:bottom w:val="nil"/>
          <w:right w:val="nil"/>
          <w:between w:val="nil"/>
        </w:pBdr>
        <w:rPr>
          <w:b/>
          <w:color w:val="000000"/>
        </w:rPr>
      </w:pPr>
      <w:r>
        <w:rPr>
          <w:b/>
          <w:color w:val="000000"/>
        </w:rPr>
        <w:t>References, links and dependencies</w:t>
      </w:r>
    </w:p>
    <w:tbl>
      <w:tblPr>
        <w:tblStyle w:val="afd"/>
        <w:tblW w:w="828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0"/>
        <w:gridCol w:w="3240"/>
        <w:gridCol w:w="2610"/>
        <w:gridCol w:w="1620"/>
      </w:tblGrid>
      <w:tr w:rsidR="005F4C24">
        <w:trPr>
          <w:cantSplit/>
          <w:tblHeader/>
        </w:trPr>
        <w:tc>
          <w:tcPr>
            <w:tcW w:w="810" w:type="dxa"/>
            <w:shd w:val="clear" w:color="auto" w:fill="D9D9D9"/>
          </w:tcPr>
          <w:p w:rsidR="005F4C24" w:rsidRDefault="004C2B0D">
            <w:pPr>
              <w:pBdr>
                <w:top w:val="nil"/>
                <w:left w:val="nil"/>
                <w:bottom w:val="nil"/>
                <w:right w:val="nil"/>
                <w:between w:val="nil"/>
              </w:pBdr>
              <w:spacing w:before="120" w:after="120"/>
            </w:pPr>
            <w:r>
              <w:t>ID</w:t>
            </w:r>
          </w:p>
        </w:tc>
        <w:tc>
          <w:tcPr>
            <w:tcW w:w="3240" w:type="dxa"/>
            <w:shd w:val="clear" w:color="auto" w:fill="D9D9D9"/>
          </w:tcPr>
          <w:p w:rsidR="005F4C24" w:rsidRDefault="004C2B0D">
            <w:pPr>
              <w:pBdr>
                <w:top w:val="nil"/>
                <w:left w:val="nil"/>
                <w:bottom w:val="nil"/>
                <w:right w:val="nil"/>
                <w:between w:val="nil"/>
              </w:pBdr>
              <w:spacing w:before="120" w:after="120"/>
            </w:pPr>
            <w:r>
              <w:t>Document Title</w:t>
            </w:r>
          </w:p>
        </w:tc>
        <w:tc>
          <w:tcPr>
            <w:tcW w:w="2610" w:type="dxa"/>
            <w:shd w:val="clear" w:color="auto" w:fill="D9D9D9"/>
          </w:tcPr>
          <w:p w:rsidR="005F4C24" w:rsidRDefault="004C2B0D">
            <w:pPr>
              <w:pBdr>
                <w:top w:val="nil"/>
                <w:left w:val="nil"/>
                <w:bottom w:val="nil"/>
                <w:right w:val="nil"/>
                <w:between w:val="nil"/>
              </w:pBdr>
              <w:spacing w:before="120" w:after="120"/>
            </w:pPr>
            <w:r>
              <w:t>Reference</w:t>
            </w:r>
          </w:p>
        </w:tc>
        <w:tc>
          <w:tcPr>
            <w:tcW w:w="1620" w:type="dxa"/>
            <w:shd w:val="clear" w:color="auto" w:fill="D9D9D9"/>
          </w:tcPr>
          <w:p w:rsidR="005F4C24" w:rsidRDefault="004C2B0D">
            <w:pPr>
              <w:pBdr>
                <w:top w:val="nil"/>
                <w:left w:val="nil"/>
                <w:bottom w:val="nil"/>
                <w:right w:val="nil"/>
                <w:between w:val="nil"/>
              </w:pBdr>
              <w:spacing w:before="120" w:after="120"/>
            </w:pPr>
            <w:r>
              <w:t>Date</w:t>
            </w:r>
          </w:p>
        </w:tc>
      </w:tr>
      <w:tr w:rsidR="005F4C24">
        <w:tc>
          <w:tcPr>
            <w:tcW w:w="810" w:type="dxa"/>
          </w:tcPr>
          <w:p w:rsidR="005F4C24" w:rsidRDefault="005F4C24">
            <w:pPr>
              <w:pBdr>
                <w:top w:val="nil"/>
                <w:left w:val="nil"/>
                <w:bottom w:val="nil"/>
                <w:right w:val="nil"/>
                <w:between w:val="nil"/>
              </w:pBdr>
              <w:spacing w:before="120" w:after="120"/>
            </w:pPr>
            <w:bookmarkStart w:id="155" w:name="_heading=h.2b6jogx" w:colFirst="0" w:colLast="0"/>
            <w:bookmarkEnd w:id="155"/>
          </w:p>
        </w:tc>
        <w:tc>
          <w:tcPr>
            <w:tcW w:w="3240" w:type="dxa"/>
          </w:tcPr>
          <w:p w:rsidR="005F4C24" w:rsidRDefault="005F4C24">
            <w:pPr>
              <w:pBdr>
                <w:top w:val="nil"/>
                <w:left w:val="nil"/>
                <w:bottom w:val="nil"/>
                <w:right w:val="nil"/>
                <w:between w:val="nil"/>
              </w:pBdr>
              <w:spacing w:before="120" w:after="120"/>
            </w:pPr>
          </w:p>
        </w:tc>
        <w:tc>
          <w:tcPr>
            <w:tcW w:w="2610" w:type="dxa"/>
          </w:tcPr>
          <w:p w:rsidR="005F4C24" w:rsidRDefault="005F4C24">
            <w:pPr>
              <w:pBdr>
                <w:top w:val="nil"/>
                <w:left w:val="nil"/>
                <w:bottom w:val="nil"/>
                <w:right w:val="nil"/>
                <w:between w:val="nil"/>
              </w:pBdr>
              <w:spacing w:before="120" w:after="120"/>
            </w:pPr>
          </w:p>
        </w:tc>
        <w:tc>
          <w:tcPr>
            <w:tcW w:w="1620" w:type="dxa"/>
          </w:tcPr>
          <w:p w:rsidR="005F4C24" w:rsidRDefault="005F4C24">
            <w:pPr>
              <w:pBdr>
                <w:top w:val="nil"/>
                <w:left w:val="nil"/>
                <w:bottom w:val="nil"/>
                <w:right w:val="nil"/>
                <w:between w:val="nil"/>
              </w:pBdr>
              <w:spacing w:before="120" w:after="120"/>
            </w:pPr>
          </w:p>
        </w:tc>
      </w:tr>
      <w:tr w:rsidR="005F4C24">
        <w:tc>
          <w:tcPr>
            <w:tcW w:w="810" w:type="dxa"/>
          </w:tcPr>
          <w:p w:rsidR="005F4C24" w:rsidRDefault="005F4C24">
            <w:pPr>
              <w:pBdr>
                <w:top w:val="nil"/>
                <w:left w:val="nil"/>
                <w:bottom w:val="nil"/>
                <w:right w:val="nil"/>
                <w:between w:val="nil"/>
              </w:pBdr>
              <w:spacing w:before="120" w:after="120"/>
            </w:pPr>
            <w:bookmarkStart w:id="156" w:name="_heading=h.qbtyoq" w:colFirst="0" w:colLast="0"/>
            <w:bookmarkEnd w:id="156"/>
          </w:p>
        </w:tc>
        <w:tc>
          <w:tcPr>
            <w:tcW w:w="3240" w:type="dxa"/>
          </w:tcPr>
          <w:p w:rsidR="005F4C24" w:rsidRDefault="005F4C24">
            <w:pPr>
              <w:pBdr>
                <w:top w:val="nil"/>
                <w:left w:val="nil"/>
                <w:bottom w:val="nil"/>
                <w:right w:val="nil"/>
                <w:between w:val="nil"/>
              </w:pBdr>
              <w:spacing w:before="120" w:after="120"/>
            </w:pPr>
          </w:p>
        </w:tc>
        <w:tc>
          <w:tcPr>
            <w:tcW w:w="2610" w:type="dxa"/>
          </w:tcPr>
          <w:p w:rsidR="005F4C24" w:rsidRDefault="005F4C24">
            <w:pPr>
              <w:pBdr>
                <w:top w:val="nil"/>
                <w:left w:val="nil"/>
                <w:bottom w:val="nil"/>
                <w:right w:val="nil"/>
                <w:between w:val="nil"/>
              </w:pBdr>
              <w:spacing w:before="120" w:after="120"/>
            </w:pPr>
          </w:p>
        </w:tc>
        <w:tc>
          <w:tcPr>
            <w:tcW w:w="1620" w:type="dxa"/>
          </w:tcPr>
          <w:p w:rsidR="005F4C24" w:rsidRDefault="005F4C24">
            <w:pPr>
              <w:pBdr>
                <w:top w:val="nil"/>
                <w:left w:val="nil"/>
                <w:bottom w:val="nil"/>
                <w:right w:val="nil"/>
                <w:between w:val="nil"/>
              </w:pBdr>
              <w:spacing w:before="120" w:after="120"/>
            </w:pPr>
          </w:p>
        </w:tc>
      </w:tr>
      <w:tr w:rsidR="005F4C24">
        <w:tc>
          <w:tcPr>
            <w:tcW w:w="810" w:type="dxa"/>
          </w:tcPr>
          <w:p w:rsidR="005F4C24" w:rsidRDefault="005F4C24">
            <w:pPr>
              <w:pBdr>
                <w:top w:val="nil"/>
                <w:left w:val="nil"/>
                <w:bottom w:val="nil"/>
                <w:right w:val="nil"/>
                <w:between w:val="nil"/>
              </w:pBdr>
              <w:spacing w:before="120" w:after="120"/>
            </w:pPr>
            <w:bookmarkStart w:id="157" w:name="_heading=h.3abhhcj" w:colFirst="0" w:colLast="0"/>
            <w:bookmarkEnd w:id="157"/>
          </w:p>
        </w:tc>
        <w:tc>
          <w:tcPr>
            <w:tcW w:w="3240" w:type="dxa"/>
          </w:tcPr>
          <w:p w:rsidR="005F4C24" w:rsidRDefault="005F4C24">
            <w:pPr>
              <w:pBdr>
                <w:top w:val="nil"/>
                <w:left w:val="nil"/>
                <w:bottom w:val="nil"/>
                <w:right w:val="nil"/>
                <w:between w:val="nil"/>
              </w:pBdr>
              <w:spacing w:before="120" w:after="120"/>
            </w:pPr>
          </w:p>
        </w:tc>
        <w:tc>
          <w:tcPr>
            <w:tcW w:w="2610" w:type="dxa"/>
          </w:tcPr>
          <w:p w:rsidR="005F4C24" w:rsidRDefault="005F4C24">
            <w:pPr>
              <w:pBdr>
                <w:top w:val="nil"/>
                <w:left w:val="nil"/>
                <w:bottom w:val="nil"/>
                <w:right w:val="nil"/>
                <w:between w:val="nil"/>
              </w:pBdr>
              <w:spacing w:before="120" w:after="120"/>
            </w:pPr>
          </w:p>
        </w:tc>
        <w:tc>
          <w:tcPr>
            <w:tcW w:w="1620" w:type="dxa"/>
          </w:tcPr>
          <w:p w:rsidR="005F4C24" w:rsidRDefault="005F4C24">
            <w:pPr>
              <w:pBdr>
                <w:top w:val="nil"/>
                <w:left w:val="nil"/>
                <w:bottom w:val="nil"/>
                <w:right w:val="nil"/>
                <w:between w:val="nil"/>
              </w:pBdr>
              <w:spacing w:before="120" w:after="120"/>
            </w:pPr>
          </w:p>
        </w:tc>
      </w:tr>
    </w:tbl>
    <w:p w:rsidR="005F4C24" w:rsidRDefault="005F4C24">
      <w:pPr>
        <w:pBdr>
          <w:top w:val="nil"/>
          <w:left w:val="nil"/>
          <w:bottom w:val="nil"/>
          <w:right w:val="nil"/>
          <w:between w:val="nil"/>
        </w:pBdr>
        <w:spacing w:after="0"/>
        <w:rPr>
          <w:color w:val="000000"/>
        </w:rPr>
      </w:pPr>
    </w:p>
    <w:p w:rsidR="005F4C24" w:rsidRDefault="004C2B0D">
      <w:pPr>
        <w:keepNext/>
        <w:numPr>
          <w:ilvl w:val="1"/>
          <w:numId w:val="19"/>
        </w:numPr>
        <w:pBdr>
          <w:top w:val="nil"/>
          <w:left w:val="nil"/>
          <w:bottom w:val="nil"/>
          <w:right w:val="nil"/>
          <w:between w:val="nil"/>
        </w:pBdr>
        <w:rPr>
          <w:b/>
          <w:color w:val="000000"/>
        </w:rPr>
      </w:pPr>
      <w:r>
        <w:rPr>
          <w:b/>
          <w:color w:val="000000"/>
        </w:rPr>
        <w:t>Supplier personnel</w:t>
      </w:r>
    </w:p>
    <w:tbl>
      <w:tblPr>
        <w:tblStyle w:val="afe"/>
        <w:tblW w:w="828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2250"/>
        <w:gridCol w:w="3330"/>
      </w:tblGrid>
      <w:tr w:rsidR="005F4C24">
        <w:trPr>
          <w:cantSplit/>
          <w:tblHeader/>
        </w:trPr>
        <w:tc>
          <w:tcPr>
            <w:tcW w:w="2700" w:type="dxa"/>
            <w:shd w:val="clear" w:color="auto" w:fill="D9D9D9"/>
          </w:tcPr>
          <w:p w:rsidR="005F4C24" w:rsidRDefault="004C2B0D">
            <w:pPr>
              <w:spacing w:before="120" w:after="120"/>
            </w:pPr>
            <w:r>
              <w:t>Key Personnel Names</w:t>
            </w:r>
          </w:p>
        </w:tc>
        <w:tc>
          <w:tcPr>
            <w:tcW w:w="2250" w:type="dxa"/>
            <w:shd w:val="clear" w:color="auto" w:fill="D9D9D9"/>
          </w:tcPr>
          <w:p w:rsidR="005F4C24" w:rsidRDefault="004C2B0D">
            <w:pPr>
              <w:spacing w:before="120" w:after="120"/>
            </w:pPr>
            <w:r>
              <w:t>Title</w:t>
            </w:r>
          </w:p>
        </w:tc>
        <w:tc>
          <w:tcPr>
            <w:tcW w:w="3330" w:type="dxa"/>
            <w:shd w:val="clear" w:color="auto" w:fill="D9D9D9"/>
          </w:tcPr>
          <w:p w:rsidR="005F4C24" w:rsidRDefault="004C2B0D">
            <w:pPr>
              <w:spacing w:before="120" w:after="120"/>
            </w:pPr>
            <w:r>
              <w:t>Contact Details incl. Mobile Number and Email Address</w:t>
            </w:r>
          </w:p>
        </w:tc>
      </w:tr>
      <w:tr w:rsidR="005F4C24">
        <w:tc>
          <w:tcPr>
            <w:tcW w:w="2700" w:type="dxa"/>
          </w:tcPr>
          <w:p w:rsidR="005F4C24" w:rsidRDefault="005F4C24">
            <w:pPr>
              <w:spacing w:before="120" w:after="120"/>
            </w:pPr>
          </w:p>
        </w:tc>
        <w:tc>
          <w:tcPr>
            <w:tcW w:w="2250" w:type="dxa"/>
          </w:tcPr>
          <w:p w:rsidR="005F4C24" w:rsidRDefault="005F4C24">
            <w:pPr>
              <w:spacing w:before="120" w:after="120"/>
            </w:pPr>
          </w:p>
        </w:tc>
        <w:tc>
          <w:tcPr>
            <w:tcW w:w="3330" w:type="dxa"/>
          </w:tcPr>
          <w:p w:rsidR="005F4C24" w:rsidRDefault="005F4C24">
            <w:pPr>
              <w:spacing w:before="120" w:after="120"/>
            </w:pPr>
          </w:p>
        </w:tc>
      </w:tr>
      <w:tr w:rsidR="005F4C24">
        <w:tc>
          <w:tcPr>
            <w:tcW w:w="2700" w:type="dxa"/>
          </w:tcPr>
          <w:p w:rsidR="005F4C24" w:rsidRDefault="005F4C24">
            <w:pPr>
              <w:spacing w:before="120" w:after="120"/>
            </w:pPr>
          </w:p>
        </w:tc>
        <w:tc>
          <w:tcPr>
            <w:tcW w:w="2250" w:type="dxa"/>
          </w:tcPr>
          <w:p w:rsidR="005F4C24" w:rsidRDefault="005F4C24">
            <w:pPr>
              <w:spacing w:before="120" w:after="120"/>
            </w:pPr>
          </w:p>
        </w:tc>
        <w:tc>
          <w:tcPr>
            <w:tcW w:w="3330" w:type="dxa"/>
          </w:tcPr>
          <w:p w:rsidR="005F4C24" w:rsidRDefault="005F4C24">
            <w:pPr>
              <w:spacing w:before="120" w:after="120"/>
            </w:pPr>
          </w:p>
        </w:tc>
      </w:tr>
      <w:tr w:rsidR="005F4C24">
        <w:tc>
          <w:tcPr>
            <w:tcW w:w="2700" w:type="dxa"/>
          </w:tcPr>
          <w:p w:rsidR="005F4C24" w:rsidRDefault="005F4C24">
            <w:pPr>
              <w:spacing w:before="120" w:after="120"/>
            </w:pPr>
          </w:p>
        </w:tc>
        <w:tc>
          <w:tcPr>
            <w:tcW w:w="2250" w:type="dxa"/>
          </w:tcPr>
          <w:p w:rsidR="005F4C24" w:rsidRDefault="005F4C24">
            <w:pPr>
              <w:spacing w:before="120" w:after="120"/>
            </w:pPr>
          </w:p>
        </w:tc>
        <w:tc>
          <w:tcPr>
            <w:tcW w:w="3330" w:type="dxa"/>
          </w:tcPr>
          <w:p w:rsidR="005F4C24" w:rsidRDefault="005F4C24">
            <w:pPr>
              <w:spacing w:before="120" w:after="120"/>
            </w:pPr>
          </w:p>
        </w:tc>
      </w:tr>
    </w:tbl>
    <w:p w:rsidR="005F4C24" w:rsidRDefault="004C2B0D">
      <w:pPr>
        <w:keepNext/>
        <w:numPr>
          <w:ilvl w:val="0"/>
          <w:numId w:val="19"/>
        </w:numPr>
        <w:pBdr>
          <w:top w:val="nil"/>
          <w:left w:val="nil"/>
          <w:bottom w:val="nil"/>
          <w:right w:val="nil"/>
          <w:between w:val="nil"/>
        </w:pBdr>
        <w:spacing w:before="360"/>
      </w:pPr>
      <w:bookmarkStart w:id="158" w:name="_heading=h.1pgrrkc" w:colFirst="0" w:colLast="0"/>
      <w:bookmarkEnd w:id="158"/>
      <w:r>
        <w:rPr>
          <w:b/>
          <w:color w:val="000000"/>
          <w:sz w:val="24"/>
          <w:szCs w:val="24"/>
        </w:rPr>
        <w:t>System description</w:t>
      </w:r>
    </w:p>
    <w:p w:rsidR="005F4C24" w:rsidRDefault="004C2B0D">
      <w:pPr>
        <w:keepNext/>
        <w:numPr>
          <w:ilvl w:val="1"/>
          <w:numId w:val="19"/>
        </w:numPr>
        <w:pBdr>
          <w:top w:val="nil"/>
          <w:left w:val="nil"/>
          <w:bottom w:val="nil"/>
          <w:right w:val="nil"/>
          <w:between w:val="nil"/>
        </w:pBdr>
        <w:rPr>
          <w:b/>
          <w:color w:val="000000"/>
        </w:rPr>
      </w:pPr>
      <w:r>
        <w:rPr>
          <w:b/>
          <w:color w:val="000000"/>
        </w:rPr>
        <w:t>Background</w:t>
      </w:r>
    </w:p>
    <w:p w:rsidR="005F4C24" w:rsidRDefault="004C2B0D">
      <w:pPr>
        <w:numPr>
          <w:ilvl w:val="0"/>
          <w:numId w:val="37"/>
        </w:numPr>
        <w:pBdr>
          <w:top w:val="nil"/>
          <w:left w:val="nil"/>
          <w:bottom w:val="nil"/>
          <w:right w:val="nil"/>
          <w:between w:val="nil"/>
        </w:pBdr>
      </w:pPr>
      <w:r>
        <w:rPr>
          <w:color w:val="000000"/>
        </w:rPr>
        <w:t>[</w:t>
      </w:r>
      <w:r>
        <w:rPr>
          <w:i/>
          <w:color w:val="000000"/>
        </w:rPr>
        <w:t>A short description of the project/product/system. Describe its purpose, functionality, aim and scope</w:t>
      </w:r>
      <w:r>
        <w:rPr>
          <w:color w:val="000000"/>
        </w:rPr>
        <w:t>.]</w:t>
      </w:r>
    </w:p>
    <w:p w:rsidR="005F4C24" w:rsidRDefault="004C2B0D">
      <w:pPr>
        <w:keepNext/>
        <w:numPr>
          <w:ilvl w:val="1"/>
          <w:numId w:val="19"/>
        </w:numPr>
        <w:pBdr>
          <w:top w:val="nil"/>
          <w:left w:val="nil"/>
          <w:bottom w:val="nil"/>
          <w:right w:val="nil"/>
          <w:between w:val="nil"/>
        </w:pBdr>
        <w:rPr>
          <w:b/>
          <w:color w:val="000000"/>
        </w:rPr>
      </w:pPr>
      <w:r>
        <w:rPr>
          <w:b/>
          <w:color w:val="000000"/>
        </w:rPr>
        <w:t>Organisational Ownership/Structure</w:t>
      </w:r>
    </w:p>
    <w:p w:rsidR="005F4C24" w:rsidRDefault="004C2B0D">
      <w:pPr>
        <w:numPr>
          <w:ilvl w:val="0"/>
          <w:numId w:val="37"/>
        </w:numPr>
        <w:pBdr>
          <w:top w:val="nil"/>
          <w:left w:val="nil"/>
          <w:bottom w:val="nil"/>
          <w:right w:val="nil"/>
          <w:between w:val="nil"/>
        </w:pBdr>
      </w:pPr>
      <w:r>
        <w:rPr>
          <w:color w:val="000000"/>
        </w:rPr>
        <w:t>[</w:t>
      </w:r>
      <w:r>
        <w:rPr>
          <w:i/>
          <w:color w:val="000000"/>
        </w:rPr>
        <w:t xml:space="preserve">Who owns the system and operates the system and the organisational governance structure. This should include how any ongoing security management is integrated into the project governance </w:t>
      </w:r>
      <w:proofErr w:type="spellStart"/>
      <w:r>
        <w:rPr>
          <w:i/>
          <w:color w:val="000000"/>
        </w:rPr>
        <w:t>eg</w:t>
      </w:r>
      <w:proofErr w:type="spellEnd"/>
      <w:r>
        <w:rPr>
          <w:i/>
          <w:color w:val="000000"/>
        </w:rPr>
        <w:t xml:space="preserve"> how a Security Working Group reports to the project board.</w:t>
      </w:r>
      <w:r>
        <w:rPr>
          <w:color w:val="000000"/>
        </w:rPr>
        <w:t>]</w:t>
      </w:r>
    </w:p>
    <w:p w:rsidR="005F4C24" w:rsidRDefault="004C2B0D">
      <w:pPr>
        <w:keepNext/>
        <w:numPr>
          <w:ilvl w:val="1"/>
          <w:numId w:val="19"/>
        </w:numPr>
        <w:pBdr>
          <w:top w:val="nil"/>
          <w:left w:val="nil"/>
          <w:bottom w:val="nil"/>
          <w:right w:val="nil"/>
          <w:between w:val="nil"/>
        </w:pBdr>
        <w:rPr>
          <w:b/>
          <w:color w:val="000000"/>
        </w:rPr>
      </w:pPr>
      <w:r>
        <w:rPr>
          <w:b/>
          <w:color w:val="000000"/>
        </w:rPr>
        <w:lastRenderedPageBreak/>
        <w:t>Information assets and flows</w:t>
      </w:r>
    </w:p>
    <w:p w:rsidR="005F4C24" w:rsidRDefault="004C2B0D">
      <w:pPr>
        <w:keepNext/>
        <w:numPr>
          <w:ilvl w:val="2"/>
          <w:numId w:val="19"/>
        </w:numPr>
        <w:pBdr>
          <w:top w:val="nil"/>
          <w:left w:val="nil"/>
          <w:bottom w:val="nil"/>
          <w:right w:val="nil"/>
          <w:between w:val="nil"/>
        </w:pBdr>
      </w:pPr>
      <w:r>
        <w:rPr>
          <w:color w:val="000000"/>
        </w:rPr>
        <w:t>Logical data flow diagram</w:t>
      </w:r>
    </w:p>
    <w:p w:rsidR="005F4C24" w:rsidRDefault="004C2B0D">
      <w:pPr>
        <w:numPr>
          <w:ilvl w:val="0"/>
          <w:numId w:val="37"/>
        </w:numPr>
        <w:pBdr>
          <w:top w:val="nil"/>
          <w:left w:val="nil"/>
          <w:bottom w:val="nil"/>
          <w:right w:val="nil"/>
          <w:between w:val="nil"/>
        </w:pBdr>
        <w:ind w:left="1440"/>
      </w:pPr>
      <w:r>
        <w:rPr>
          <w:color w:val="000000"/>
        </w:rPr>
        <w:t>[</w:t>
      </w:r>
      <w:r>
        <w:rPr>
          <w:i/>
          <w:color w:val="000000"/>
        </w:rPr>
        <w:t xml:space="preserve">This should include a simple </w:t>
      </w:r>
      <w:proofErr w:type="gramStart"/>
      <w:r>
        <w:rPr>
          <w:i/>
          <w:color w:val="000000"/>
        </w:rPr>
        <w:t>high level</w:t>
      </w:r>
      <w:proofErr w:type="gramEnd"/>
      <w:r>
        <w:rPr>
          <w:i/>
          <w:color w:val="000000"/>
        </w:rPr>
        <w:t xml:space="preserve"> logical diagram on one page. The diagram must include any </w:t>
      </w:r>
      <w:proofErr w:type="gramStart"/>
      <w:r>
        <w:rPr>
          <w:i/>
          <w:color w:val="000000"/>
        </w:rPr>
        <w:t>third party</w:t>
      </w:r>
      <w:proofErr w:type="gramEnd"/>
      <w:r>
        <w:rPr>
          <w:i/>
          <w:color w:val="000000"/>
        </w:rPr>
        <w:t xml:space="preserve"> suppliers and the data flows to/from them.</w:t>
      </w:r>
      <w:r>
        <w:rPr>
          <w:color w:val="000000"/>
        </w:rPr>
        <w:t>]</w:t>
      </w:r>
    </w:p>
    <w:p w:rsidR="005F4C24" w:rsidRDefault="004C2B0D">
      <w:pPr>
        <w:keepNext/>
        <w:numPr>
          <w:ilvl w:val="2"/>
          <w:numId w:val="19"/>
        </w:numPr>
        <w:pBdr>
          <w:top w:val="nil"/>
          <w:left w:val="nil"/>
          <w:bottom w:val="nil"/>
          <w:right w:val="nil"/>
          <w:between w:val="nil"/>
        </w:pBdr>
      </w:pPr>
      <w:r>
        <w:rPr>
          <w:color w:val="000000"/>
        </w:rPr>
        <w:t>Data assets</w:t>
      </w:r>
    </w:p>
    <w:p w:rsidR="005F4C24" w:rsidRDefault="004C2B0D">
      <w:pPr>
        <w:numPr>
          <w:ilvl w:val="0"/>
          <w:numId w:val="37"/>
        </w:numPr>
        <w:pBdr>
          <w:top w:val="nil"/>
          <w:left w:val="nil"/>
          <w:bottom w:val="nil"/>
          <w:right w:val="nil"/>
          <w:between w:val="nil"/>
        </w:pBdr>
        <w:ind w:left="1440"/>
      </w:pPr>
      <w:r>
        <w:rPr>
          <w:color w:val="000000"/>
        </w:rPr>
        <w:t>[</w:t>
      </w:r>
      <w:r>
        <w:rPr>
          <w:i/>
          <w:color w:val="000000"/>
        </w:rPr>
        <w:t>Include a table of the type and volumes of data that will be processed, managed and stored within the supplier system. If personal data, please include the fields used such as name, address, department DOB, NI number etc. Data processed by third party suppliers must be included here</w:t>
      </w:r>
      <w:r>
        <w:rPr>
          <w:color w:val="000000"/>
        </w:rPr>
        <w:t>]</w:t>
      </w:r>
    </w:p>
    <w:p w:rsidR="005F4C24" w:rsidRDefault="004C2B0D">
      <w:pPr>
        <w:keepNext/>
        <w:numPr>
          <w:ilvl w:val="1"/>
          <w:numId w:val="19"/>
        </w:numPr>
        <w:pBdr>
          <w:top w:val="nil"/>
          <w:left w:val="nil"/>
          <w:bottom w:val="nil"/>
          <w:right w:val="nil"/>
          <w:between w:val="nil"/>
        </w:pBdr>
        <w:rPr>
          <w:b/>
          <w:color w:val="000000"/>
        </w:rPr>
      </w:pPr>
      <w:r>
        <w:rPr>
          <w:b/>
          <w:color w:val="000000"/>
        </w:rPr>
        <w:t>System architecture</w:t>
      </w:r>
    </w:p>
    <w:p w:rsidR="005F4C24" w:rsidRDefault="004C2B0D">
      <w:pPr>
        <w:numPr>
          <w:ilvl w:val="0"/>
          <w:numId w:val="37"/>
        </w:numPr>
        <w:pBdr>
          <w:top w:val="nil"/>
          <w:left w:val="nil"/>
          <w:bottom w:val="nil"/>
          <w:right w:val="nil"/>
          <w:between w:val="nil"/>
        </w:pBdr>
      </w:pPr>
      <w:r>
        <w:rPr>
          <w:color w:val="000000"/>
        </w:rPr>
        <w:t>[</w:t>
      </w:r>
      <w:r>
        <w:rPr>
          <w:i/>
          <w:color w:val="000000"/>
        </w:rPr>
        <w:t>A description of the physical system architecture, to include the system management. Please provide a diagram</w:t>
      </w:r>
      <w:r>
        <w:rPr>
          <w:color w:val="000000"/>
        </w:rPr>
        <w:t>.]</w:t>
      </w:r>
    </w:p>
    <w:p w:rsidR="005F4C24" w:rsidRDefault="004C2B0D">
      <w:pPr>
        <w:keepNext/>
        <w:numPr>
          <w:ilvl w:val="1"/>
          <w:numId w:val="19"/>
        </w:numPr>
        <w:pBdr>
          <w:top w:val="nil"/>
          <w:left w:val="nil"/>
          <w:bottom w:val="nil"/>
          <w:right w:val="nil"/>
          <w:between w:val="nil"/>
        </w:pBdr>
        <w:rPr>
          <w:b/>
          <w:color w:val="000000"/>
        </w:rPr>
      </w:pPr>
      <w:r>
        <w:rPr>
          <w:b/>
          <w:color w:val="000000"/>
        </w:rPr>
        <w:t>Users</w:t>
      </w:r>
    </w:p>
    <w:p w:rsidR="005F4C24" w:rsidRDefault="004C2B0D">
      <w:pPr>
        <w:numPr>
          <w:ilvl w:val="0"/>
          <w:numId w:val="37"/>
        </w:numPr>
        <w:pBdr>
          <w:top w:val="nil"/>
          <w:left w:val="nil"/>
          <w:bottom w:val="nil"/>
          <w:right w:val="nil"/>
          <w:between w:val="nil"/>
        </w:pBdr>
      </w:pPr>
      <w:r>
        <w:rPr>
          <w:color w:val="000000"/>
        </w:rPr>
        <w:t>[</w:t>
      </w:r>
      <w:r>
        <w:rPr>
          <w:i/>
          <w:color w:val="000000"/>
        </w:rPr>
        <w:t>Please provide a table of the system users, this should include all users including HMG users as well as any service provider users and system managers. If relevant, security clearance level requirements should be included</w:t>
      </w:r>
      <w:r>
        <w:rPr>
          <w:color w:val="000000"/>
        </w:rPr>
        <w:t>.]</w:t>
      </w:r>
    </w:p>
    <w:p w:rsidR="005F4C24" w:rsidRDefault="004C2B0D">
      <w:pPr>
        <w:keepNext/>
        <w:numPr>
          <w:ilvl w:val="1"/>
          <w:numId w:val="19"/>
        </w:numPr>
        <w:pBdr>
          <w:top w:val="nil"/>
          <w:left w:val="nil"/>
          <w:bottom w:val="nil"/>
          <w:right w:val="nil"/>
          <w:between w:val="nil"/>
        </w:pBdr>
        <w:rPr>
          <w:b/>
          <w:color w:val="000000"/>
        </w:rPr>
      </w:pPr>
      <w:r>
        <w:rPr>
          <w:b/>
          <w:color w:val="000000"/>
        </w:rPr>
        <w:t>Locations</w:t>
      </w:r>
    </w:p>
    <w:p w:rsidR="005F4C24" w:rsidRDefault="004C2B0D">
      <w:pPr>
        <w:numPr>
          <w:ilvl w:val="0"/>
          <w:numId w:val="37"/>
        </w:numPr>
        <w:pBdr>
          <w:top w:val="nil"/>
          <w:left w:val="nil"/>
          <w:bottom w:val="nil"/>
          <w:right w:val="nil"/>
          <w:between w:val="nil"/>
        </w:pBdr>
      </w:pPr>
      <w:r>
        <w:rPr>
          <w:color w:val="000000"/>
        </w:rPr>
        <w:t>[</w:t>
      </w:r>
      <w:r>
        <w:rPr>
          <w:i/>
          <w:color w:val="000000"/>
        </w:rPr>
        <w:t xml:space="preserve">Please provide a table of where the Authorities data assets are stored, processed and any locations they are managed from. This must include the locations of any help desks or call centres if relevant. All </w:t>
      </w:r>
      <w:proofErr w:type="gramStart"/>
      <w:r>
        <w:rPr>
          <w:i/>
          <w:color w:val="000000"/>
        </w:rPr>
        <w:t>third party</w:t>
      </w:r>
      <w:proofErr w:type="gramEnd"/>
      <w:r>
        <w:rPr>
          <w:i/>
          <w:color w:val="000000"/>
        </w:rPr>
        <w:t xml:space="preserve"> suppliers and subcontractors must be included in this section. Any off-shoring considerations should be detailed with the legal basis for the data transfer included </w:t>
      </w:r>
      <w:proofErr w:type="spellStart"/>
      <w:r>
        <w:rPr>
          <w:i/>
          <w:color w:val="000000"/>
        </w:rPr>
        <w:t>eg</w:t>
      </w:r>
      <w:proofErr w:type="spellEnd"/>
      <w:r>
        <w:rPr>
          <w:i/>
          <w:color w:val="000000"/>
        </w:rPr>
        <w:t xml:space="preserve"> Standard Contractual Clauses, equivalency etc.</w:t>
      </w:r>
      <w:r>
        <w:rPr>
          <w:color w:val="000000"/>
        </w:rPr>
        <w:t>]</w:t>
      </w:r>
    </w:p>
    <w:p w:rsidR="005F4C24" w:rsidRDefault="004C2B0D">
      <w:pPr>
        <w:keepNext/>
        <w:numPr>
          <w:ilvl w:val="1"/>
          <w:numId w:val="19"/>
        </w:numPr>
        <w:pBdr>
          <w:top w:val="nil"/>
          <w:left w:val="nil"/>
          <w:bottom w:val="nil"/>
          <w:right w:val="nil"/>
          <w:between w:val="nil"/>
        </w:pBdr>
        <w:rPr>
          <w:b/>
          <w:color w:val="000000"/>
        </w:rPr>
      </w:pPr>
      <w:r>
        <w:rPr>
          <w:b/>
          <w:color w:val="000000"/>
        </w:rPr>
        <w:t>Certifications</w:t>
      </w:r>
    </w:p>
    <w:p w:rsidR="005F4C24" w:rsidRDefault="004C2B0D">
      <w:pPr>
        <w:numPr>
          <w:ilvl w:val="0"/>
          <w:numId w:val="37"/>
        </w:numPr>
        <w:pBdr>
          <w:top w:val="nil"/>
          <w:left w:val="nil"/>
          <w:bottom w:val="nil"/>
          <w:right w:val="nil"/>
          <w:between w:val="nil"/>
        </w:pBdr>
      </w:pPr>
      <w:r>
        <w:rPr>
          <w:color w:val="000000"/>
        </w:rPr>
        <w:t>[</w:t>
      </w:r>
      <w:r>
        <w:rPr>
          <w:i/>
          <w:color w:val="000000"/>
        </w:rPr>
        <w:t>Please include a table of any independent security certifications (</w:t>
      </w:r>
      <w:proofErr w:type="spellStart"/>
      <w:r>
        <w:rPr>
          <w:i/>
          <w:color w:val="000000"/>
        </w:rPr>
        <w:t>eg</w:t>
      </w:r>
      <w:proofErr w:type="spellEnd"/>
      <w:r>
        <w:rPr>
          <w:i/>
          <w:color w:val="000000"/>
        </w:rPr>
        <w:t xml:space="preserve"> ISO 27001:2013, Cyber Essentials Plus and Cyber Essentials) held as required by the contract. The table should include any relevant </w:t>
      </w:r>
      <w:proofErr w:type="gramStart"/>
      <w:r>
        <w:rPr>
          <w:i/>
          <w:color w:val="000000"/>
        </w:rPr>
        <w:t>third party</w:t>
      </w:r>
      <w:proofErr w:type="gramEnd"/>
      <w:r>
        <w:rPr>
          <w:i/>
          <w:color w:val="000000"/>
        </w:rPr>
        <w:t xml:space="preserve"> suppliers or subcontractors and must include the expiry date of the certification. Copies of the certificates should be included in Appendix 1.</w:t>
      </w:r>
      <w:r>
        <w:rPr>
          <w:color w:val="000000"/>
        </w:rPr>
        <w:t>]</w:t>
      </w:r>
    </w:p>
    <w:p w:rsidR="005F4C24" w:rsidRDefault="004C2B0D">
      <w:pPr>
        <w:keepNext/>
        <w:numPr>
          <w:ilvl w:val="1"/>
          <w:numId w:val="19"/>
        </w:numPr>
        <w:pBdr>
          <w:top w:val="nil"/>
          <w:left w:val="nil"/>
          <w:bottom w:val="nil"/>
          <w:right w:val="nil"/>
          <w:between w:val="nil"/>
        </w:pBdr>
        <w:rPr>
          <w:b/>
          <w:color w:val="000000"/>
        </w:rPr>
      </w:pPr>
      <w:r>
        <w:rPr>
          <w:b/>
          <w:color w:val="000000"/>
        </w:rPr>
        <w:t>Test and development systems</w:t>
      </w:r>
    </w:p>
    <w:p w:rsidR="005F4C24" w:rsidRDefault="004C2B0D">
      <w:pPr>
        <w:numPr>
          <w:ilvl w:val="0"/>
          <w:numId w:val="37"/>
        </w:numPr>
        <w:pBdr>
          <w:top w:val="nil"/>
          <w:left w:val="nil"/>
          <w:bottom w:val="nil"/>
          <w:right w:val="nil"/>
          <w:between w:val="nil"/>
        </w:pBdr>
      </w:pPr>
      <w:r>
        <w:rPr>
          <w:color w:val="000000"/>
        </w:rPr>
        <w:t>[</w:t>
      </w:r>
      <w:r>
        <w:rPr>
          <w:i/>
          <w:color w:val="000000"/>
        </w:rPr>
        <w:t>Include information about any test, development and User Acceptance testing systems, their locations and whether they contain live system data.</w:t>
      </w:r>
      <w:r>
        <w:rPr>
          <w:color w:val="000000"/>
        </w:rPr>
        <w:t>]</w:t>
      </w:r>
    </w:p>
    <w:p w:rsidR="005F4C24" w:rsidRDefault="004C2B0D">
      <w:pPr>
        <w:keepNext/>
        <w:numPr>
          <w:ilvl w:val="1"/>
          <w:numId w:val="19"/>
        </w:numPr>
        <w:pBdr>
          <w:top w:val="nil"/>
          <w:left w:val="nil"/>
          <w:bottom w:val="nil"/>
          <w:right w:val="nil"/>
          <w:between w:val="nil"/>
        </w:pBdr>
        <w:rPr>
          <w:b/>
          <w:color w:val="000000"/>
        </w:rPr>
      </w:pPr>
      <w:r>
        <w:rPr>
          <w:b/>
          <w:color w:val="000000"/>
        </w:rPr>
        <w:t>Modules Register</w:t>
      </w:r>
    </w:p>
    <w:p w:rsidR="005F4C24" w:rsidRDefault="004C2B0D">
      <w:pPr>
        <w:numPr>
          <w:ilvl w:val="0"/>
          <w:numId w:val="37"/>
        </w:numPr>
        <w:pBdr>
          <w:top w:val="nil"/>
          <w:left w:val="nil"/>
          <w:bottom w:val="nil"/>
          <w:right w:val="nil"/>
          <w:between w:val="nil"/>
        </w:pBdr>
      </w:pPr>
      <w:bookmarkStart w:id="159" w:name="_heading=h.49gfa85" w:colFirst="0" w:colLast="0"/>
      <w:bookmarkEnd w:id="159"/>
      <w:r>
        <w:rPr>
          <w:color w:val="000000"/>
        </w:rPr>
        <w:t>[</w:t>
      </w:r>
      <w:r>
        <w:rPr>
          <w:i/>
          <w:color w:val="000000"/>
        </w:rPr>
        <w:t>If code development is being undertaken, include a table of all Third-party Software Modules that form part of the Code. This must include the name of the developer, the due diligence undertaken by the supplier, any recognised security vulnerabilities and how the supplier will minimise the effect of those.</w:t>
      </w:r>
      <w:r>
        <w:rPr>
          <w:color w:val="000000"/>
        </w:rPr>
        <w:t>]</w:t>
      </w:r>
    </w:p>
    <w:p w:rsidR="005F4C24" w:rsidRDefault="004C2B0D">
      <w:pPr>
        <w:keepNext/>
        <w:numPr>
          <w:ilvl w:val="1"/>
          <w:numId w:val="19"/>
        </w:numPr>
        <w:pBdr>
          <w:top w:val="nil"/>
          <w:left w:val="nil"/>
          <w:bottom w:val="nil"/>
          <w:right w:val="nil"/>
          <w:between w:val="nil"/>
        </w:pBdr>
        <w:rPr>
          <w:b/>
          <w:color w:val="000000"/>
        </w:rPr>
      </w:pPr>
      <w:r>
        <w:rPr>
          <w:b/>
          <w:color w:val="000000"/>
        </w:rPr>
        <w:t>Support Register</w:t>
      </w:r>
    </w:p>
    <w:p w:rsidR="005F4C24" w:rsidRDefault="004C2B0D">
      <w:pPr>
        <w:numPr>
          <w:ilvl w:val="0"/>
          <w:numId w:val="37"/>
        </w:numPr>
        <w:pBdr>
          <w:top w:val="nil"/>
          <w:left w:val="nil"/>
          <w:bottom w:val="nil"/>
          <w:right w:val="nil"/>
          <w:between w:val="nil"/>
        </w:pBdr>
      </w:pPr>
      <w:r>
        <w:rPr>
          <w:color w:val="000000"/>
        </w:rPr>
        <w:t>[</w:t>
      </w:r>
      <w:r>
        <w:rPr>
          <w:i/>
          <w:color w:val="000000"/>
        </w:rPr>
        <w:t>A table should be included of all software used in any development activity, including the date it will cease to be in mainstream support.</w:t>
      </w:r>
      <w:r>
        <w:rPr>
          <w:color w:val="000000"/>
        </w:rPr>
        <w:t>]</w:t>
      </w:r>
    </w:p>
    <w:p w:rsidR="005F4C24" w:rsidRDefault="004C2B0D">
      <w:pPr>
        <w:keepNext/>
        <w:numPr>
          <w:ilvl w:val="0"/>
          <w:numId w:val="19"/>
        </w:numPr>
        <w:pBdr>
          <w:top w:val="nil"/>
          <w:left w:val="nil"/>
          <w:bottom w:val="nil"/>
          <w:right w:val="nil"/>
          <w:between w:val="nil"/>
        </w:pBdr>
        <w:spacing w:before="360"/>
      </w:pPr>
      <w:bookmarkStart w:id="160" w:name="_heading=h.2olpkfy" w:colFirst="0" w:colLast="0"/>
      <w:bookmarkEnd w:id="160"/>
      <w:r>
        <w:rPr>
          <w:b/>
          <w:color w:val="000000"/>
          <w:sz w:val="24"/>
          <w:szCs w:val="24"/>
        </w:rPr>
        <w:lastRenderedPageBreak/>
        <w:t>Risk assessment</w:t>
      </w:r>
    </w:p>
    <w:p w:rsidR="005F4C24" w:rsidRDefault="004C2B0D">
      <w:pPr>
        <w:keepNext/>
        <w:numPr>
          <w:ilvl w:val="1"/>
          <w:numId w:val="19"/>
        </w:numPr>
        <w:pBdr>
          <w:top w:val="nil"/>
          <w:left w:val="nil"/>
          <w:bottom w:val="nil"/>
          <w:right w:val="nil"/>
          <w:between w:val="nil"/>
        </w:pBdr>
        <w:rPr>
          <w:b/>
          <w:color w:val="000000"/>
        </w:rPr>
      </w:pPr>
      <w:r>
        <w:rPr>
          <w:b/>
          <w:color w:val="000000"/>
        </w:rPr>
        <w:t>Accreditation/assurance scope</w:t>
      </w:r>
    </w:p>
    <w:p w:rsidR="005F4C24" w:rsidRDefault="004C2B0D">
      <w:pPr>
        <w:numPr>
          <w:ilvl w:val="0"/>
          <w:numId w:val="37"/>
        </w:numPr>
        <w:pBdr>
          <w:top w:val="nil"/>
          <w:left w:val="nil"/>
          <w:bottom w:val="nil"/>
          <w:right w:val="nil"/>
          <w:between w:val="nil"/>
        </w:pBdr>
      </w:pPr>
      <w:r>
        <w:rPr>
          <w:color w:val="000000"/>
        </w:rPr>
        <w:t>[</w:t>
      </w:r>
      <w:r>
        <w:rPr>
          <w:i/>
          <w:color w:val="000000"/>
        </w:rPr>
        <w:t xml:space="preserve">This section should describe the scope of the Risk Assessment and should indicate the components of the architecture upon which reliance is placed but assurance will not be done </w:t>
      </w:r>
      <w:proofErr w:type="spellStart"/>
      <w:r>
        <w:rPr>
          <w:i/>
          <w:color w:val="000000"/>
        </w:rPr>
        <w:t>eg</w:t>
      </w:r>
      <w:proofErr w:type="spellEnd"/>
      <w:r>
        <w:rPr>
          <w:i/>
          <w:color w:val="000000"/>
        </w:rPr>
        <w:t xml:space="preserve"> a cloud hosting service or a SAAS product/tool. A logical diagram should be used along with a brief description of the components. This scope must be agreed by the Authority.</w:t>
      </w:r>
      <w:r>
        <w:rPr>
          <w:color w:val="000000"/>
        </w:rPr>
        <w:t>]</w:t>
      </w:r>
    </w:p>
    <w:p w:rsidR="005F4C24" w:rsidRDefault="004C2B0D">
      <w:pPr>
        <w:keepNext/>
        <w:numPr>
          <w:ilvl w:val="1"/>
          <w:numId w:val="19"/>
        </w:numPr>
        <w:pBdr>
          <w:top w:val="nil"/>
          <w:left w:val="nil"/>
          <w:bottom w:val="nil"/>
          <w:right w:val="nil"/>
          <w:between w:val="nil"/>
        </w:pBdr>
        <w:rPr>
          <w:b/>
          <w:color w:val="000000"/>
        </w:rPr>
      </w:pPr>
      <w:r>
        <w:rPr>
          <w:b/>
          <w:color w:val="000000"/>
        </w:rPr>
        <w:t>Risk appetite</w:t>
      </w:r>
    </w:p>
    <w:p w:rsidR="005F4C24" w:rsidRDefault="004C2B0D">
      <w:pPr>
        <w:numPr>
          <w:ilvl w:val="0"/>
          <w:numId w:val="37"/>
        </w:numPr>
        <w:pBdr>
          <w:top w:val="nil"/>
          <w:left w:val="nil"/>
          <w:bottom w:val="nil"/>
          <w:right w:val="nil"/>
          <w:between w:val="nil"/>
        </w:pBdr>
      </w:pPr>
      <w:r>
        <w:rPr>
          <w:color w:val="000000"/>
        </w:rPr>
        <w:t>[</w:t>
      </w:r>
      <w:r>
        <w:rPr>
          <w:i/>
          <w:color w:val="000000"/>
        </w:rPr>
        <w:t>A risk appetite should be provided by the Authority and included here.</w:t>
      </w:r>
      <w:r>
        <w:rPr>
          <w:color w:val="000000"/>
        </w:rPr>
        <w:t>]</w:t>
      </w:r>
    </w:p>
    <w:p w:rsidR="005F4C24" w:rsidRDefault="004C2B0D">
      <w:pPr>
        <w:keepNext/>
        <w:numPr>
          <w:ilvl w:val="1"/>
          <w:numId w:val="19"/>
        </w:numPr>
        <w:pBdr>
          <w:top w:val="nil"/>
          <w:left w:val="nil"/>
          <w:bottom w:val="nil"/>
          <w:right w:val="nil"/>
          <w:between w:val="nil"/>
        </w:pBdr>
        <w:rPr>
          <w:b/>
          <w:color w:val="000000"/>
        </w:rPr>
      </w:pPr>
      <w:r>
        <w:rPr>
          <w:b/>
          <w:color w:val="000000"/>
        </w:rPr>
        <w:t>Business impact assessment</w:t>
      </w:r>
    </w:p>
    <w:p w:rsidR="005F4C24" w:rsidRDefault="004C2B0D">
      <w:pPr>
        <w:numPr>
          <w:ilvl w:val="0"/>
          <w:numId w:val="37"/>
        </w:numPr>
        <w:pBdr>
          <w:top w:val="nil"/>
          <w:left w:val="nil"/>
          <w:bottom w:val="nil"/>
          <w:right w:val="nil"/>
          <w:between w:val="nil"/>
        </w:pBdr>
      </w:pPr>
      <w:r>
        <w:rPr>
          <w:color w:val="000000"/>
        </w:rPr>
        <w:t>[</w:t>
      </w:r>
      <w:r>
        <w:rPr>
          <w:i/>
          <w:color w:val="000000"/>
        </w:rPr>
        <w:t>A description of the information assets and the impact of their loss or corruption (</w:t>
      </w:r>
      <w:proofErr w:type="spellStart"/>
      <w:r>
        <w:rPr>
          <w:i/>
          <w:color w:val="000000"/>
        </w:rPr>
        <w:t>eg</w:t>
      </w:r>
      <w:proofErr w:type="spellEnd"/>
      <w:r>
        <w:rPr>
          <w:i/>
          <w:color w:val="000000"/>
        </w:rPr>
        <w:t xml:space="preserve"> large amounts of Official Sensitive personal data the loss of which would be severely damaging to individuals, embarrassing to HMG, and make HMG liable to ICO investigations) in business terms should be included. This section should cover the impact on loss of confidentiality, integrity and availability of the assets and should be agreed with the Authority. The format of this assessment may be dependent on the risk assessment method chosen.</w:t>
      </w:r>
      <w:r>
        <w:rPr>
          <w:color w:val="000000"/>
        </w:rPr>
        <w:t>]</w:t>
      </w:r>
    </w:p>
    <w:p w:rsidR="005F4C24" w:rsidRDefault="004C2B0D">
      <w:pPr>
        <w:keepNext/>
        <w:numPr>
          <w:ilvl w:val="1"/>
          <w:numId w:val="19"/>
        </w:numPr>
        <w:pBdr>
          <w:top w:val="nil"/>
          <w:left w:val="nil"/>
          <w:bottom w:val="nil"/>
          <w:right w:val="nil"/>
          <w:between w:val="nil"/>
        </w:pBdr>
        <w:rPr>
          <w:b/>
          <w:color w:val="000000"/>
        </w:rPr>
      </w:pPr>
      <w:r>
        <w:rPr>
          <w:b/>
          <w:color w:val="000000"/>
        </w:rPr>
        <w:t>Risk assessment</w:t>
      </w:r>
    </w:p>
    <w:p w:rsidR="005F4C24" w:rsidRDefault="004C2B0D">
      <w:pPr>
        <w:numPr>
          <w:ilvl w:val="0"/>
          <w:numId w:val="37"/>
        </w:numPr>
        <w:pBdr>
          <w:top w:val="nil"/>
          <w:left w:val="nil"/>
          <w:bottom w:val="nil"/>
          <w:right w:val="nil"/>
          <w:between w:val="nil"/>
        </w:pBdr>
      </w:pPr>
      <w:r>
        <w:rPr>
          <w:color w:val="000000"/>
        </w:rPr>
        <w:t>[</w:t>
      </w:r>
      <w:r>
        <w:rPr>
          <w:i/>
          <w:color w:val="000000"/>
        </w:rPr>
        <w:t>The content of this section will depend on the risk assessment methodology chosen, but should contain the output of the formal information risk assessment in a prioritised list using business language. Experts on the system and business process should have been involved in the risk assessment to ensure the formal risk methodology used has not missed out any risks. The example table below should be used as the format to identify the risks and document the controls used to mitigate those risks.</w:t>
      </w:r>
      <w:r>
        <w:rPr>
          <w:color w:val="000000"/>
        </w:rPr>
        <w:t>]</w:t>
      </w:r>
    </w:p>
    <w:tbl>
      <w:tblPr>
        <w:tblStyle w:val="aff"/>
        <w:tblW w:w="837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
        <w:gridCol w:w="1800"/>
        <w:gridCol w:w="990"/>
        <w:gridCol w:w="1507"/>
        <w:gridCol w:w="2273"/>
        <w:gridCol w:w="1080"/>
      </w:tblGrid>
      <w:tr w:rsidR="005F4C24">
        <w:trPr>
          <w:cantSplit/>
          <w:tblHeader/>
        </w:trPr>
        <w:tc>
          <w:tcPr>
            <w:tcW w:w="720" w:type="dxa"/>
            <w:shd w:val="clear" w:color="auto" w:fill="D9D9D9"/>
          </w:tcPr>
          <w:p w:rsidR="005F4C24" w:rsidRDefault="004C2B0D">
            <w:pPr>
              <w:pBdr>
                <w:top w:val="nil"/>
                <w:left w:val="nil"/>
                <w:bottom w:val="nil"/>
                <w:right w:val="nil"/>
                <w:between w:val="nil"/>
              </w:pBdr>
              <w:spacing w:before="120" w:after="120"/>
              <w:rPr>
                <w:sz w:val="18"/>
                <w:szCs w:val="18"/>
              </w:rPr>
            </w:pPr>
            <w:r>
              <w:rPr>
                <w:sz w:val="18"/>
                <w:szCs w:val="18"/>
              </w:rPr>
              <w:t>Risk ID</w:t>
            </w:r>
          </w:p>
        </w:tc>
        <w:tc>
          <w:tcPr>
            <w:tcW w:w="1800" w:type="dxa"/>
            <w:shd w:val="clear" w:color="auto" w:fill="D9D9D9"/>
          </w:tcPr>
          <w:p w:rsidR="005F4C24" w:rsidRDefault="004C2B0D">
            <w:pPr>
              <w:pBdr>
                <w:top w:val="nil"/>
                <w:left w:val="nil"/>
                <w:bottom w:val="nil"/>
                <w:right w:val="nil"/>
                <w:between w:val="nil"/>
              </w:pBdr>
              <w:spacing w:before="120" w:after="120"/>
              <w:rPr>
                <w:sz w:val="18"/>
                <w:szCs w:val="18"/>
              </w:rPr>
            </w:pPr>
            <w:r>
              <w:rPr>
                <w:sz w:val="18"/>
                <w:szCs w:val="18"/>
              </w:rPr>
              <w:t>Inherent risk</w:t>
            </w:r>
          </w:p>
        </w:tc>
        <w:tc>
          <w:tcPr>
            <w:tcW w:w="990" w:type="dxa"/>
            <w:shd w:val="clear" w:color="auto" w:fill="D9D9D9"/>
          </w:tcPr>
          <w:p w:rsidR="005F4C24" w:rsidRDefault="004C2B0D">
            <w:pPr>
              <w:pBdr>
                <w:top w:val="nil"/>
                <w:left w:val="nil"/>
                <w:bottom w:val="nil"/>
                <w:right w:val="nil"/>
                <w:between w:val="nil"/>
              </w:pBdr>
              <w:spacing w:before="120" w:after="120"/>
              <w:rPr>
                <w:sz w:val="18"/>
                <w:szCs w:val="18"/>
              </w:rPr>
            </w:pPr>
            <w:r>
              <w:rPr>
                <w:sz w:val="18"/>
                <w:szCs w:val="18"/>
              </w:rPr>
              <w:t>Inherent risk level</w:t>
            </w:r>
          </w:p>
        </w:tc>
        <w:tc>
          <w:tcPr>
            <w:tcW w:w="1507" w:type="dxa"/>
            <w:shd w:val="clear" w:color="auto" w:fill="D9D9D9"/>
          </w:tcPr>
          <w:p w:rsidR="005F4C24" w:rsidRDefault="004C2B0D">
            <w:pPr>
              <w:pBdr>
                <w:top w:val="nil"/>
                <w:left w:val="nil"/>
                <w:bottom w:val="nil"/>
                <w:right w:val="nil"/>
                <w:between w:val="nil"/>
              </w:pBdr>
              <w:spacing w:before="120" w:after="120"/>
              <w:rPr>
                <w:sz w:val="18"/>
                <w:szCs w:val="18"/>
              </w:rPr>
            </w:pPr>
            <w:r>
              <w:rPr>
                <w:sz w:val="18"/>
                <w:szCs w:val="18"/>
              </w:rPr>
              <w:t>Vulnerability</w:t>
            </w:r>
          </w:p>
        </w:tc>
        <w:tc>
          <w:tcPr>
            <w:tcW w:w="2273" w:type="dxa"/>
            <w:shd w:val="clear" w:color="auto" w:fill="D9D9D9"/>
          </w:tcPr>
          <w:p w:rsidR="005F4C24" w:rsidRDefault="004C2B0D">
            <w:pPr>
              <w:pBdr>
                <w:top w:val="nil"/>
                <w:left w:val="nil"/>
                <w:bottom w:val="nil"/>
                <w:right w:val="nil"/>
                <w:between w:val="nil"/>
              </w:pBdr>
              <w:spacing w:before="120" w:after="120"/>
              <w:rPr>
                <w:sz w:val="18"/>
                <w:szCs w:val="18"/>
              </w:rPr>
            </w:pPr>
            <w:r>
              <w:rPr>
                <w:sz w:val="18"/>
                <w:szCs w:val="18"/>
              </w:rPr>
              <w:t>Controls</w:t>
            </w:r>
          </w:p>
        </w:tc>
        <w:tc>
          <w:tcPr>
            <w:tcW w:w="1080" w:type="dxa"/>
            <w:shd w:val="clear" w:color="auto" w:fill="D9D9D9"/>
          </w:tcPr>
          <w:p w:rsidR="005F4C24" w:rsidRDefault="004C2B0D">
            <w:pPr>
              <w:pBdr>
                <w:top w:val="nil"/>
                <w:left w:val="nil"/>
                <w:bottom w:val="nil"/>
                <w:right w:val="nil"/>
                <w:between w:val="nil"/>
              </w:pBdr>
              <w:spacing w:before="120" w:after="120"/>
              <w:rPr>
                <w:sz w:val="18"/>
                <w:szCs w:val="18"/>
              </w:rPr>
            </w:pPr>
            <w:r>
              <w:rPr>
                <w:sz w:val="18"/>
                <w:szCs w:val="18"/>
              </w:rPr>
              <w:t>Residual risk level</w:t>
            </w:r>
          </w:p>
        </w:tc>
      </w:tr>
      <w:tr w:rsidR="005F4C24">
        <w:trPr>
          <w:cantSplit/>
        </w:trPr>
        <w:tc>
          <w:tcPr>
            <w:tcW w:w="720" w:type="dxa"/>
          </w:tcPr>
          <w:p w:rsidR="005F4C24" w:rsidRDefault="004C2B0D">
            <w:pPr>
              <w:pBdr>
                <w:top w:val="nil"/>
                <w:left w:val="nil"/>
                <w:bottom w:val="nil"/>
                <w:right w:val="nil"/>
                <w:between w:val="nil"/>
              </w:pBdr>
              <w:spacing w:before="120" w:after="120"/>
              <w:rPr>
                <w:b w:val="0"/>
                <w:color w:val="000000"/>
                <w:sz w:val="18"/>
                <w:szCs w:val="18"/>
              </w:rPr>
            </w:pPr>
            <w:r>
              <w:rPr>
                <w:b w:val="0"/>
                <w:color w:val="000000"/>
                <w:sz w:val="18"/>
                <w:szCs w:val="18"/>
              </w:rPr>
              <w:t>R1</w:t>
            </w:r>
          </w:p>
          <w:p w:rsidR="005F4C24" w:rsidRDefault="005F4C24">
            <w:pPr>
              <w:pBdr>
                <w:top w:val="nil"/>
                <w:left w:val="nil"/>
                <w:bottom w:val="nil"/>
                <w:right w:val="nil"/>
                <w:between w:val="nil"/>
              </w:pBdr>
              <w:spacing w:before="120" w:after="120"/>
              <w:rPr>
                <w:b w:val="0"/>
                <w:color w:val="000000"/>
                <w:sz w:val="18"/>
                <w:szCs w:val="18"/>
              </w:rPr>
            </w:pPr>
          </w:p>
        </w:tc>
        <w:tc>
          <w:tcPr>
            <w:tcW w:w="1800" w:type="dxa"/>
          </w:tcPr>
          <w:p w:rsidR="005F4C24" w:rsidRDefault="004C2B0D">
            <w:pPr>
              <w:pBdr>
                <w:top w:val="nil"/>
                <w:left w:val="nil"/>
                <w:bottom w:val="nil"/>
                <w:right w:val="nil"/>
                <w:between w:val="nil"/>
              </w:pBdr>
              <w:spacing w:before="120" w:after="120"/>
              <w:rPr>
                <w:b w:val="0"/>
                <w:color w:val="000000"/>
                <w:sz w:val="18"/>
                <w:szCs w:val="18"/>
              </w:rPr>
            </w:pPr>
            <w:r>
              <w:rPr>
                <w:b w:val="0"/>
                <w:color w:val="000000"/>
                <w:sz w:val="18"/>
                <w:szCs w:val="18"/>
              </w:rPr>
              <w:t>Internet attackers could hack the system.</w:t>
            </w:r>
          </w:p>
        </w:tc>
        <w:tc>
          <w:tcPr>
            <w:tcW w:w="990" w:type="dxa"/>
          </w:tcPr>
          <w:p w:rsidR="005F4C24" w:rsidRDefault="004C2B0D">
            <w:pPr>
              <w:pBdr>
                <w:top w:val="nil"/>
                <w:left w:val="nil"/>
                <w:bottom w:val="nil"/>
                <w:right w:val="nil"/>
                <w:between w:val="nil"/>
              </w:pBdr>
              <w:spacing w:before="120" w:after="120"/>
              <w:rPr>
                <w:b w:val="0"/>
                <w:color w:val="000000"/>
                <w:sz w:val="18"/>
                <w:szCs w:val="18"/>
              </w:rPr>
            </w:pPr>
            <w:r>
              <w:rPr>
                <w:b w:val="0"/>
                <w:color w:val="000000"/>
                <w:sz w:val="18"/>
                <w:szCs w:val="18"/>
              </w:rPr>
              <w:t>Medium</w:t>
            </w:r>
          </w:p>
          <w:p w:rsidR="005F4C24" w:rsidRDefault="005F4C24">
            <w:pPr>
              <w:pBdr>
                <w:top w:val="nil"/>
                <w:left w:val="nil"/>
                <w:bottom w:val="nil"/>
                <w:right w:val="nil"/>
                <w:between w:val="nil"/>
              </w:pBdr>
              <w:spacing w:before="120" w:after="120"/>
              <w:rPr>
                <w:b w:val="0"/>
                <w:color w:val="000000"/>
                <w:sz w:val="18"/>
                <w:szCs w:val="18"/>
              </w:rPr>
            </w:pPr>
          </w:p>
        </w:tc>
        <w:tc>
          <w:tcPr>
            <w:tcW w:w="1507" w:type="dxa"/>
          </w:tcPr>
          <w:p w:rsidR="005F4C24" w:rsidRDefault="004C2B0D">
            <w:pPr>
              <w:pBdr>
                <w:top w:val="nil"/>
                <w:left w:val="nil"/>
                <w:bottom w:val="nil"/>
                <w:right w:val="nil"/>
                <w:between w:val="nil"/>
              </w:pBdr>
              <w:spacing w:before="120" w:after="120"/>
              <w:rPr>
                <w:b w:val="0"/>
                <w:color w:val="000000"/>
                <w:sz w:val="18"/>
                <w:szCs w:val="18"/>
              </w:rPr>
            </w:pPr>
            <w:r>
              <w:rPr>
                <w:b w:val="0"/>
                <w:color w:val="000000"/>
                <w:sz w:val="18"/>
                <w:szCs w:val="18"/>
              </w:rPr>
              <w:t>The service systems are exposed to the internet via the web portal.</w:t>
            </w:r>
          </w:p>
        </w:tc>
        <w:tc>
          <w:tcPr>
            <w:tcW w:w="2273" w:type="dxa"/>
          </w:tcPr>
          <w:p w:rsidR="005F4C24" w:rsidRDefault="004C2B0D">
            <w:pPr>
              <w:keepNext/>
              <w:pBdr>
                <w:top w:val="nil"/>
                <w:left w:val="nil"/>
                <w:bottom w:val="nil"/>
                <w:right w:val="nil"/>
                <w:between w:val="nil"/>
              </w:pBdr>
              <w:spacing w:before="120" w:after="120"/>
              <w:rPr>
                <w:b w:val="0"/>
                <w:color w:val="000000"/>
                <w:sz w:val="18"/>
                <w:szCs w:val="18"/>
              </w:rPr>
            </w:pPr>
            <w:r>
              <w:rPr>
                <w:b w:val="0"/>
                <w:color w:val="000000"/>
                <w:sz w:val="18"/>
                <w:szCs w:val="18"/>
              </w:rPr>
              <w:t xml:space="preserve">C1: Internet-facing firewalls </w:t>
            </w:r>
          </w:p>
          <w:p w:rsidR="005F4C24" w:rsidRDefault="004C2B0D">
            <w:pPr>
              <w:keepNext/>
              <w:pBdr>
                <w:top w:val="nil"/>
                <w:left w:val="nil"/>
                <w:bottom w:val="nil"/>
                <w:right w:val="nil"/>
                <w:between w:val="nil"/>
              </w:pBdr>
              <w:spacing w:before="120" w:after="120"/>
              <w:rPr>
                <w:b w:val="0"/>
                <w:color w:val="000000"/>
                <w:sz w:val="18"/>
                <w:szCs w:val="18"/>
              </w:rPr>
            </w:pPr>
            <w:r>
              <w:rPr>
                <w:b w:val="0"/>
                <w:color w:val="000000"/>
                <w:sz w:val="18"/>
                <w:szCs w:val="18"/>
              </w:rPr>
              <w:t>C2: Internet-facing IP whitelist</w:t>
            </w:r>
          </w:p>
          <w:p w:rsidR="005F4C24" w:rsidRDefault="004C2B0D">
            <w:pPr>
              <w:pBdr>
                <w:top w:val="nil"/>
                <w:left w:val="nil"/>
                <w:bottom w:val="nil"/>
                <w:right w:val="nil"/>
                <w:between w:val="nil"/>
              </w:pBdr>
              <w:spacing w:before="120" w:after="120"/>
              <w:rPr>
                <w:b w:val="0"/>
                <w:color w:val="000000"/>
                <w:sz w:val="18"/>
                <w:szCs w:val="18"/>
              </w:rPr>
            </w:pPr>
            <w:r>
              <w:rPr>
                <w:b w:val="0"/>
                <w:color w:val="000000"/>
                <w:sz w:val="18"/>
                <w:szCs w:val="18"/>
              </w:rPr>
              <w:t>C3: System hardening</w:t>
            </w:r>
          </w:p>
          <w:p w:rsidR="005F4C24" w:rsidRDefault="004C2B0D">
            <w:pPr>
              <w:pBdr>
                <w:top w:val="nil"/>
                <w:left w:val="nil"/>
                <w:bottom w:val="nil"/>
                <w:right w:val="nil"/>
                <w:between w:val="nil"/>
              </w:pBdr>
              <w:spacing w:before="120" w:after="120"/>
              <w:rPr>
                <w:b w:val="0"/>
                <w:color w:val="000000"/>
                <w:sz w:val="18"/>
                <w:szCs w:val="18"/>
              </w:rPr>
            </w:pPr>
            <w:r>
              <w:rPr>
                <w:b w:val="0"/>
                <w:color w:val="000000"/>
                <w:sz w:val="18"/>
                <w:szCs w:val="18"/>
              </w:rPr>
              <w:t>C4: Protective monitoring</w:t>
            </w:r>
          </w:p>
          <w:p w:rsidR="005F4C24" w:rsidRDefault="004C2B0D">
            <w:pPr>
              <w:pBdr>
                <w:top w:val="nil"/>
                <w:left w:val="nil"/>
                <w:bottom w:val="nil"/>
                <w:right w:val="nil"/>
                <w:between w:val="nil"/>
              </w:pBdr>
              <w:spacing w:before="120" w:after="120"/>
              <w:rPr>
                <w:b w:val="0"/>
                <w:color w:val="000000"/>
                <w:sz w:val="18"/>
                <w:szCs w:val="18"/>
              </w:rPr>
            </w:pPr>
            <w:r>
              <w:rPr>
                <w:b w:val="0"/>
                <w:color w:val="000000"/>
                <w:sz w:val="18"/>
                <w:szCs w:val="18"/>
              </w:rPr>
              <w:t>C5: Application access control</w:t>
            </w:r>
          </w:p>
          <w:p w:rsidR="005F4C24" w:rsidRDefault="004C2B0D">
            <w:pPr>
              <w:keepNext/>
              <w:pBdr>
                <w:top w:val="nil"/>
                <w:left w:val="nil"/>
                <w:bottom w:val="nil"/>
                <w:right w:val="nil"/>
                <w:between w:val="nil"/>
              </w:pBdr>
              <w:spacing w:before="120" w:after="120"/>
              <w:rPr>
                <w:b w:val="0"/>
                <w:color w:val="000000"/>
                <w:sz w:val="18"/>
                <w:szCs w:val="18"/>
              </w:rPr>
            </w:pPr>
            <w:r>
              <w:rPr>
                <w:b w:val="0"/>
                <w:color w:val="000000"/>
                <w:sz w:val="18"/>
                <w:szCs w:val="18"/>
              </w:rPr>
              <w:t>C16: Anti-virus for incoming files</w:t>
            </w:r>
          </w:p>
          <w:p w:rsidR="005F4C24" w:rsidRDefault="004C2B0D">
            <w:pPr>
              <w:pBdr>
                <w:top w:val="nil"/>
                <w:left w:val="nil"/>
                <w:bottom w:val="nil"/>
                <w:right w:val="nil"/>
                <w:between w:val="nil"/>
              </w:pBdr>
              <w:spacing w:before="120" w:after="120"/>
              <w:rPr>
                <w:b w:val="0"/>
                <w:color w:val="000000"/>
                <w:sz w:val="18"/>
                <w:szCs w:val="18"/>
              </w:rPr>
            </w:pPr>
            <w:r>
              <w:rPr>
                <w:b w:val="0"/>
                <w:color w:val="000000"/>
                <w:sz w:val="18"/>
                <w:szCs w:val="18"/>
              </w:rPr>
              <w:t>C54: Files deleted when processed</w:t>
            </w:r>
          </w:p>
          <w:p w:rsidR="005F4C24" w:rsidRDefault="004C2B0D">
            <w:pPr>
              <w:pBdr>
                <w:top w:val="nil"/>
                <w:left w:val="nil"/>
                <w:bottom w:val="nil"/>
                <w:right w:val="nil"/>
                <w:between w:val="nil"/>
              </w:pBdr>
              <w:spacing w:before="120" w:after="120"/>
              <w:rPr>
                <w:b w:val="0"/>
                <w:color w:val="000000"/>
                <w:sz w:val="18"/>
                <w:szCs w:val="18"/>
              </w:rPr>
            </w:pPr>
            <w:r>
              <w:rPr>
                <w:b w:val="0"/>
                <w:color w:val="000000"/>
                <w:sz w:val="18"/>
                <w:szCs w:val="18"/>
              </w:rPr>
              <w:t>C59: Removal of departmental identifier</w:t>
            </w:r>
          </w:p>
        </w:tc>
        <w:tc>
          <w:tcPr>
            <w:tcW w:w="1080" w:type="dxa"/>
          </w:tcPr>
          <w:p w:rsidR="005F4C24" w:rsidRDefault="004C2B0D">
            <w:pPr>
              <w:pBdr>
                <w:top w:val="nil"/>
                <w:left w:val="nil"/>
                <w:bottom w:val="nil"/>
                <w:right w:val="nil"/>
                <w:between w:val="nil"/>
              </w:pBdr>
              <w:spacing w:before="120" w:after="120"/>
              <w:rPr>
                <w:b w:val="0"/>
                <w:color w:val="000000"/>
                <w:sz w:val="18"/>
                <w:szCs w:val="18"/>
              </w:rPr>
            </w:pPr>
            <w:r>
              <w:rPr>
                <w:b w:val="0"/>
                <w:color w:val="000000"/>
                <w:sz w:val="18"/>
                <w:szCs w:val="18"/>
              </w:rPr>
              <w:t>Very low</w:t>
            </w:r>
          </w:p>
        </w:tc>
      </w:tr>
      <w:tr w:rsidR="005F4C24">
        <w:trPr>
          <w:cantSplit/>
        </w:trPr>
        <w:tc>
          <w:tcPr>
            <w:tcW w:w="720" w:type="dxa"/>
          </w:tcPr>
          <w:p w:rsidR="005F4C24" w:rsidRDefault="004C2B0D">
            <w:pPr>
              <w:pBdr>
                <w:top w:val="nil"/>
                <w:left w:val="nil"/>
                <w:bottom w:val="nil"/>
                <w:right w:val="nil"/>
                <w:between w:val="nil"/>
              </w:pBdr>
              <w:spacing w:before="120" w:after="120"/>
              <w:rPr>
                <w:b w:val="0"/>
                <w:color w:val="000000"/>
                <w:sz w:val="18"/>
                <w:szCs w:val="18"/>
              </w:rPr>
            </w:pPr>
            <w:r>
              <w:rPr>
                <w:b w:val="0"/>
                <w:color w:val="000000"/>
                <w:sz w:val="18"/>
                <w:szCs w:val="18"/>
              </w:rPr>
              <w:t>R2</w:t>
            </w:r>
          </w:p>
        </w:tc>
        <w:tc>
          <w:tcPr>
            <w:tcW w:w="1800" w:type="dxa"/>
          </w:tcPr>
          <w:p w:rsidR="005F4C24" w:rsidRDefault="004C2B0D">
            <w:pPr>
              <w:pBdr>
                <w:top w:val="nil"/>
                <w:left w:val="nil"/>
                <w:bottom w:val="nil"/>
                <w:right w:val="nil"/>
                <w:between w:val="nil"/>
              </w:pBdr>
              <w:spacing w:before="120" w:after="120"/>
              <w:rPr>
                <w:b w:val="0"/>
                <w:color w:val="000000"/>
                <w:sz w:val="18"/>
                <w:szCs w:val="18"/>
              </w:rPr>
            </w:pPr>
            <w:r>
              <w:rPr>
                <w:b w:val="0"/>
                <w:color w:val="000000"/>
                <w:sz w:val="18"/>
                <w:szCs w:val="18"/>
              </w:rPr>
              <w:t>Remote attackers could intercept or disrupt information crossing the internet.</w:t>
            </w:r>
          </w:p>
        </w:tc>
        <w:tc>
          <w:tcPr>
            <w:tcW w:w="990" w:type="dxa"/>
          </w:tcPr>
          <w:p w:rsidR="005F4C24" w:rsidRDefault="004C2B0D">
            <w:pPr>
              <w:pBdr>
                <w:top w:val="nil"/>
                <w:left w:val="nil"/>
                <w:bottom w:val="nil"/>
                <w:right w:val="nil"/>
                <w:between w:val="nil"/>
              </w:pBdr>
              <w:spacing w:before="120" w:after="120"/>
              <w:rPr>
                <w:b w:val="0"/>
                <w:color w:val="000000"/>
                <w:sz w:val="18"/>
                <w:szCs w:val="18"/>
              </w:rPr>
            </w:pPr>
            <w:r>
              <w:rPr>
                <w:b w:val="0"/>
                <w:color w:val="000000"/>
                <w:sz w:val="18"/>
                <w:szCs w:val="18"/>
              </w:rPr>
              <w:t>Medium</w:t>
            </w:r>
          </w:p>
          <w:p w:rsidR="005F4C24" w:rsidRDefault="005F4C24">
            <w:pPr>
              <w:pBdr>
                <w:top w:val="nil"/>
                <w:left w:val="nil"/>
                <w:bottom w:val="nil"/>
                <w:right w:val="nil"/>
                <w:between w:val="nil"/>
              </w:pBdr>
              <w:spacing w:before="120" w:after="120"/>
              <w:rPr>
                <w:b w:val="0"/>
                <w:color w:val="000000"/>
                <w:sz w:val="18"/>
                <w:szCs w:val="18"/>
              </w:rPr>
            </w:pPr>
          </w:p>
        </w:tc>
        <w:tc>
          <w:tcPr>
            <w:tcW w:w="1507" w:type="dxa"/>
          </w:tcPr>
          <w:p w:rsidR="005F4C24" w:rsidRDefault="004C2B0D">
            <w:pPr>
              <w:pBdr>
                <w:top w:val="nil"/>
                <w:left w:val="nil"/>
                <w:bottom w:val="nil"/>
                <w:right w:val="nil"/>
                <w:between w:val="nil"/>
              </w:pBdr>
              <w:spacing w:before="120" w:after="120"/>
              <w:rPr>
                <w:b w:val="0"/>
                <w:color w:val="000000"/>
                <w:sz w:val="18"/>
                <w:szCs w:val="18"/>
              </w:rPr>
            </w:pPr>
            <w:r>
              <w:rPr>
                <w:b w:val="0"/>
                <w:color w:val="000000"/>
                <w:sz w:val="18"/>
                <w:szCs w:val="18"/>
              </w:rPr>
              <w:t>File sharing with organisations across the internet.</w:t>
            </w:r>
          </w:p>
        </w:tc>
        <w:tc>
          <w:tcPr>
            <w:tcW w:w="2273" w:type="dxa"/>
          </w:tcPr>
          <w:p w:rsidR="005F4C24" w:rsidRDefault="004C2B0D">
            <w:pPr>
              <w:pBdr>
                <w:top w:val="nil"/>
                <w:left w:val="nil"/>
                <w:bottom w:val="nil"/>
                <w:right w:val="nil"/>
                <w:between w:val="nil"/>
              </w:pBdr>
              <w:spacing w:before="120" w:after="120"/>
              <w:rPr>
                <w:b w:val="0"/>
                <w:color w:val="000000"/>
                <w:sz w:val="18"/>
                <w:szCs w:val="18"/>
              </w:rPr>
            </w:pPr>
            <w:r>
              <w:rPr>
                <w:b w:val="0"/>
                <w:color w:val="000000"/>
                <w:sz w:val="18"/>
                <w:szCs w:val="18"/>
              </w:rPr>
              <w:t>C9: TLS communications</w:t>
            </w:r>
          </w:p>
          <w:p w:rsidR="005F4C24" w:rsidRDefault="004C2B0D">
            <w:pPr>
              <w:keepNext/>
              <w:pBdr>
                <w:top w:val="nil"/>
                <w:left w:val="nil"/>
                <w:bottom w:val="nil"/>
                <w:right w:val="nil"/>
                <w:between w:val="nil"/>
              </w:pBdr>
              <w:spacing w:before="120" w:after="120"/>
              <w:rPr>
                <w:b w:val="0"/>
                <w:color w:val="000000"/>
                <w:sz w:val="18"/>
                <w:szCs w:val="18"/>
              </w:rPr>
            </w:pPr>
            <w:r>
              <w:rPr>
                <w:b w:val="0"/>
                <w:color w:val="000000"/>
                <w:sz w:val="18"/>
                <w:szCs w:val="18"/>
              </w:rPr>
              <w:t>C10: PGP file-sharing</w:t>
            </w:r>
          </w:p>
        </w:tc>
        <w:tc>
          <w:tcPr>
            <w:tcW w:w="1080" w:type="dxa"/>
          </w:tcPr>
          <w:p w:rsidR="005F4C24" w:rsidRDefault="004C2B0D">
            <w:pPr>
              <w:pBdr>
                <w:top w:val="nil"/>
                <w:left w:val="nil"/>
                <w:bottom w:val="nil"/>
                <w:right w:val="nil"/>
                <w:between w:val="nil"/>
              </w:pBdr>
              <w:spacing w:before="120" w:after="120"/>
              <w:rPr>
                <w:b w:val="0"/>
                <w:color w:val="000000"/>
                <w:sz w:val="18"/>
                <w:szCs w:val="18"/>
              </w:rPr>
            </w:pPr>
            <w:r>
              <w:rPr>
                <w:b w:val="0"/>
                <w:color w:val="000000"/>
                <w:sz w:val="18"/>
                <w:szCs w:val="18"/>
              </w:rPr>
              <w:t>Very low</w:t>
            </w:r>
          </w:p>
        </w:tc>
      </w:tr>
      <w:tr w:rsidR="005F4C24">
        <w:trPr>
          <w:cantSplit/>
        </w:trPr>
        <w:tc>
          <w:tcPr>
            <w:tcW w:w="720" w:type="dxa"/>
          </w:tcPr>
          <w:p w:rsidR="005F4C24" w:rsidRDefault="004C2B0D">
            <w:pPr>
              <w:pBdr>
                <w:top w:val="nil"/>
                <w:left w:val="nil"/>
                <w:bottom w:val="nil"/>
                <w:right w:val="nil"/>
                <w:between w:val="nil"/>
              </w:pBdr>
              <w:spacing w:before="120" w:after="120"/>
              <w:rPr>
                <w:b w:val="0"/>
                <w:color w:val="000000"/>
                <w:sz w:val="18"/>
                <w:szCs w:val="18"/>
              </w:rPr>
            </w:pPr>
            <w:r>
              <w:rPr>
                <w:b w:val="0"/>
                <w:color w:val="000000"/>
                <w:sz w:val="18"/>
                <w:szCs w:val="18"/>
              </w:rPr>
              <w:lastRenderedPageBreak/>
              <w:t>R3</w:t>
            </w:r>
          </w:p>
        </w:tc>
        <w:tc>
          <w:tcPr>
            <w:tcW w:w="1800" w:type="dxa"/>
          </w:tcPr>
          <w:p w:rsidR="005F4C24" w:rsidRDefault="004C2B0D">
            <w:pPr>
              <w:pBdr>
                <w:top w:val="nil"/>
                <w:left w:val="nil"/>
                <w:bottom w:val="nil"/>
                <w:right w:val="nil"/>
                <w:between w:val="nil"/>
              </w:pBdr>
              <w:spacing w:before="120" w:after="120"/>
              <w:rPr>
                <w:b w:val="0"/>
                <w:color w:val="000000"/>
                <w:sz w:val="18"/>
                <w:szCs w:val="18"/>
              </w:rPr>
            </w:pPr>
            <w:r>
              <w:rPr>
                <w:b w:val="0"/>
                <w:color w:val="000000"/>
                <w:sz w:val="18"/>
                <w:szCs w:val="18"/>
              </w:rPr>
              <w:t>Internal users could maliciously or accidentally alter bank details.</w:t>
            </w:r>
          </w:p>
        </w:tc>
        <w:tc>
          <w:tcPr>
            <w:tcW w:w="990" w:type="dxa"/>
          </w:tcPr>
          <w:p w:rsidR="005F4C24" w:rsidRDefault="004C2B0D">
            <w:pPr>
              <w:keepNext/>
              <w:pBdr>
                <w:top w:val="nil"/>
                <w:left w:val="nil"/>
                <w:bottom w:val="nil"/>
                <w:right w:val="nil"/>
                <w:between w:val="nil"/>
              </w:pBdr>
              <w:spacing w:before="120" w:after="120"/>
              <w:rPr>
                <w:b w:val="0"/>
                <w:color w:val="000000"/>
                <w:sz w:val="18"/>
                <w:szCs w:val="18"/>
              </w:rPr>
            </w:pPr>
            <w:r>
              <w:rPr>
                <w:b w:val="0"/>
                <w:color w:val="000000"/>
                <w:sz w:val="18"/>
                <w:szCs w:val="18"/>
              </w:rPr>
              <w:t>Medium-High</w:t>
            </w:r>
          </w:p>
        </w:tc>
        <w:tc>
          <w:tcPr>
            <w:tcW w:w="1507" w:type="dxa"/>
          </w:tcPr>
          <w:p w:rsidR="005F4C24" w:rsidRDefault="004C2B0D">
            <w:pPr>
              <w:pBdr>
                <w:top w:val="nil"/>
                <w:left w:val="nil"/>
                <w:bottom w:val="nil"/>
                <w:right w:val="nil"/>
                <w:between w:val="nil"/>
              </w:pBdr>
              <w:spacing w:before="120" w:after="120"/>
              <w:rPr>
                <w:b w:val="0"/>
                <w:color w:val="000000"/>
                <w:sz w:val="18"/>
                <w:szCs w:val="18"/>
              </w:rPr>
            </w:pPr>
            <w:r>
              <w:rPr>
                <w:b w:val="0"/>
                <w:color w:val="000000"/>
                <w:sz w:val="18"/>
                <w:szCs w:val="18"/>
              </w:rPr>
              <w:t>Users bank details can be altered as part of the normal business function.</w:t>
            </w:r>
          </w:p>
        </w:tc>
        <w:tc>
          <w:tcPr>
            <w:tcW w:w="2273" w:type="dxa"/>
          </w:tcPr>
          <w:p w:rsidR="005F4C24" w:rsidRDefault="004C2B0D">
            <w:pPr>
              <w:pBdr>
                <w:top w:val="nil"/>
                <w:left w:val="nil"/>
                <w:bottom w:val="nil"/>
                <w:right w:val="nil"/>
                <w:between w:val="nil"/>
              </w:pBdr>
              <w:spacing w:before="120" w:after="120"/>
              <w:rPr>
                <w:b w:val="0"/>
                <w:color w:val="000000"/>
                <w:sz w:val="18"/>
                <w:szCs w:val="18"/>
              </w:rPr>
            </w:pPr>
            <w:r>
              <w:rPr>
                <w:b w:val="0"/>
                <w:color w:val="000000"/>
                <w:sz w:val="18"/>
                <w:szCs w:val="18"/>
              </w:rPr>
              <w:t>C12. System administrators hold SC clearance.</w:t>
            </w:r>
          </w:p>
          <w:p w:rsidR="005F4C24" w:rsidRDefault="004C2B0D">
            <w:pPr>
              <w:pBdr>
                <w:top w:val="nil"/>
                <w:left w:val="nil"/>
                <w:bottom w:val="nil"/>
                <w:right w:val="nil"/>
                <w:between w:val="nil"/>
              </w:pBdr>
              <w:spacing w:before="120" w:after="120"/>
              <w:rPr>
                <w:b w:val="0"/>
                <w:color w:val="000000"/>
                <w:sz w:val="18"/>
                <w:szCs w:val="18"/>
              </w:rPr>
            </w:pPr>
            <w:r>
              <w:rPr>
                <w:b w:val="0"/>
                <w:color w:val="000000"/>
                <w:sz w:val="18"/>
                <w:szCs w:val="18"/>
              </w:rPr>
              <w:t>C13. All changes to user information are logged and audited.</w:t>
            </w:r>
          </w:p>
          <w:p w:rsidR="005F4C24" w:rsidRDefault="004C2B0D">
            <w:pPr>
              <w:pBdr>
                <w:top w:val="nil"/>
                <w:left w:val="nil"/>
                <w:bottom w:val="nil"/>
                <w:right w:val="nil"/>
                <w:between w:val="nil"/>
              </w:pBdr>
              <w:spacing w:before="120" w:after="120"/>
              <w:rPr>
                <w:b w:val="0"/>
                <w:color w:val="000000"/>
                <w:sz w:val="18"/>
                <w:szCs w:val="18"/>
              </w:rPr>
            </w:pPr>
            <w:r>
              <w:rPr>
                <w:b w:val="0"/>
                <w:color w:val="000000"/>
                <w:sz w:val="18"/>
                <w:szCs w:val="18"/>
              </w:rPr>
              <w:t xml:space="preserve">C14. Letters are automatically sent to </w:t>
            </w:r>
            <w:proofErr w:type="gramStart"/>
            <w:r>
              <w:rPr>
                <w:b w:val="0"/>
                <w:color w:val="000000"/>
                <w:sz w:val="18"/>
                <w:szCs w:val="18"/>
              </w:rPr>
              <w:t>users</w:t>
            </w:r>
            <w:proofErr w:type="gramEnd"/>
            <w:r>
              <w:rPr>
                <w:b w:val="0"/>
                <w:color w:val="000000"/>
                <w:sz w:val="18"/>
                <w:szCs w:val="18"/>
              </w:rPr>
              <w:t xml:space="preserve"> home addresses when bank details are altered.</w:t>
            </w:r>
          </w:p>
          <w:p w:rsidR="005F4C24" w:rsidRDefault="004C2B0D">
            <w:pPr>
              <w:pBdr>
                <w:top w:val="nil"/>
                <w:left w:val="nil"/>
                <w:bottom w:val="nil"/>
                <w:right w:val="nil"/>
                <w:between w:val="nil"/>
              </w:pBdr>
              <w:spacing w:before="120" w:after="120"/>
              <w:rPr>
                <w:b w:val="0"/>
                <w:color w:val="000000"/>
                <w:sz w:val="18"/>
                <w:szCs w:val="18"/>
              </w:rPr>
            </w:pPr>
            <w:r>
              <w:rPr>
                <w:b w:val="0"/>
                <w:color w:val="000000"/>
                <w:sz w:val="18"/>
                <w:szCs w:val="18"/>
              </w:rPr>
              <w:t>C15. Staff awareness training</w:t>
            </w:r>
          </w:p>
        </w:tc>
        <w:tc>
          <w:tcPr>
            <w:tcW w:w="1080" w:type="dxa"/>
          </w:tcPr>
          <w:p w:rsidR="005F4C24" w:rsidRDefault="004C2B0D">
            <w:pPr>
              <w:pBdr>
                <w:top w:val="nil"/>
                <w:left w:val="nil"/>
                <w:bottom w:val="nil"/>
                <w:right w:val="nil"/>
                <w:between w:val="nil"/>
              </w:pBdr>
              <w:spacing w:before="120" w:after="120"/>
              <w:rPr>
                <w:b w:val="0"/>
                <w:color w:val="000000"/>
                <w:sz w:val="18"/>
                <w:szCs w:val="18"/>
              </w:rPr>
            </w:pPr>
            <w:r>
              <w:rPr>
                <w:b w:val="0"/>
                <w:color w:val="000000"/>
                <w:sz w:val="18"/>
                <w:szCs w:val="18"/>
              </w:rPr>
              <w:t>Low</w:t>
            </w:r>
          </w:p>
        </w:tc>
      </w:tr>
    </w:tbl>
    <w:p w:rsidR="005F4C24" w:rsidRDefault="005F4C24">
      <w:pPr>
        <w:pBdr>
          <w:top w:val="nil"/>
          <w:left w:val="nil"/>
          <w:bottom w:val="nil"/>
          <w:right w:val="nil"/>
          <w:between w:val="nil"/>
        </w:pBdr>
        <w:spacing w:after="0"/>
        <w:rPr>
          <w:color w:val="000000"/>
        </w:rPr>
      </w:pPr>
    </w:p>
    <w:p w:rsidR="005F4C24" w:rsidRDefault="004C2B0D">
      <w:pPr>
        <w:keepNext/>
        <w:numPr>
          <w:ilvl w:val="1"/>
          <w:numId w:val="19"/>
        </w:numPr>
        <w:pBdr>
          <w:top w:val="nil"/>
          <w:left w:val="nil"/>
          <w:bottom w:val="nil"/>
          <w:right w:val="nil"/>
          <w:between w:val="nil"/>
        </w:pBdr>
        <w:rPr>
          <w:b/>
          <w:color w:val="000000"/>
        </w:rPr>
      </w:pPr>
      <w:r>
        <w:rPr>
          <w:b/>
          <w:color w:val="000000"/>
        </w:rPr>
        <w:t>Controls</w:t>
      </w:r>
    </w:p>
    <w:p w:rsidR="005F4C24" w:rsidRDefault="004C2B0D">
      <w:pPr>
        <w:numPr>
          <w:ilvl w:val="0"/>
          <w:numId w:val="37"/>
        </w:numPr>
        <w:pBdr>
          <w:top w:val="nil"/>
          <w:left w:val="nil"/>
          <w:bottom w:val="nil"/>
          <w:right w:val="nil"/>
          <w:between w:val="nil"/>
        </w:pBdr>
      </w:pPr>
      <w:r>
        <w:rPr>
          <w:color w:val="000000"/>
        </w:rPr>
        <w:t>[</w:t>
      </w:r>
      <w:r>
        <w:rPr>
          <w:i/>
          <w:color w:val="000000"/>
        </w:rPr>
        <w:t>The controls listed above to mitigate the risks identified should be detailed. There should be a description of each control, further information and configuration details where relevant, and an assessment of the implementation status of, and assurance in, the control. A sample layout is included below</w:t>
      </w:r>
      <w:r>
        <w:rPr>
          <w:color w:val="000000"/>
        </w:rPr>
        <w:t>.]</w:t>
      </w:r>
    </w:p>
    <w:tbl>
      <w:tblPr>
        <w:tblStyle w:val="aff0"/>
        <w:tblW w:w="8388" w:type="dxa"/>
        <w:tblInd w:w="6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8"/>
        <w:gridCol w:w="1710"/>
        <w:gridCol w:w="2970"/>
        <w:gridCol w:w="2970"/>
      </w:tblGrid>
      <w:tr w:rsidR="005F4C24">
        <w:trPr>
          <w:cantSplit/>
          <w:tblHeader/>
        </w:trPr>
        <w:tc>
          <w:tcPr>
            <w:tcW w:w="738" w:type="dxa"/>
            <w:shd w:val="clear" w:color="auto" w:fill="D9D9D9"/>
          </w:tcPr>
          <w:p w:rsidR="005F4C24" w:rsidRDefault="004C2B0D">
            <w:pPr>
              <w:pBdr>
                <w:top w:val="nil"/>
                <w:left w:val="nil"/>
                <w:bottom w:val="nil"/>
                <w:right w:val="nil"/>
                <w:between w:val="nil"/>
              </w:pBdr>
              <w:spacing w:before="120" w:after="120"/>
              <w:rPr>
                <w:sz w:val="18"/>
                <w:szCs w:val="18"/>
              </w:rPr>
            </w:pPr>
            <w:r>
              <w:rPr>
                <w:sz w:val="18"/>
                <w:szCs w:val="18"/>
              </w:rPr>
              <w:t>ID</w:t>
            </w:r>
          </w:p>
        </w:tc>
        <w:tc>
          <w:tcPr>
            <w:tcW w:w="1710" w:type="dxa"/>
            <w:shd w:val="clear" w:color="auto" w:fill="D9D9D9"/>
          </w:tcPr>
          <w:p w:rsidR="005F4C24" w:rsidRDefault="004C2B0D">
            <w:pPr>
              <w:pBdr>
                <w:top w:val="nil"/>
                <w:left w:val="nil"/>
                <w:bottom w:val="nil"/>
                <w:right w:val="nil"/>
                <w:between w:val="nil"/>
              </w:pBdr>
              <w:spacing w:before="120" w:after="120"/>
              <w:rPr>
                <w:sz w:val="18"/>
                <w:szCs w:val="18"/>
              </w:rPr>
            </w:pPr>
            <w:r>
              <w:rPr>
                <w:sz w:val="18"/>
                <w:szCs w:val="18"/>
              </w:rPr>
              <w:t>Control title</w:t>
            </w:r>
          </w:p>
        </w:tc>
        <w:tc>
          <w:tcPr>
            <w:tcW w:w="2970" w:type="dxa"/>
            <w:shd w:val="clear" w:color="auto" w:fill="D9D9D9"/>
          </w:tcPr>
          <w:p w:rsidR="005F4C24" w:rsidRDefault="004C2B0D">
            <w:pPr>
              <w:pBdr>
                <w:top w:val="nil"/>
                <w:left w:val="nil"/>
                <w:bottom w:val="nil"/>
                <w:right w:val="nil"/>
                <w:between w:val="nil"/>
              </w:pBdr>
              <w:spacing w:before="120" w:after="120"/>
              <w:rPr>
                <w:sz w:val="18"/>
                <w:szCs w:val="18"/>
              </w:rPr>
            </w:pPr>
            <w:r>
              <w:rPr>
                <w:sz w:val="18"/>
                <w:szCs w:val="18"/>
              </w:rPr>
              <w:t>Control description</w:t>
            </w:r>
          </w:p>
        </w:tc>
        <w:tc>
          <w:tcPr>
            <w:tcW w:w="2970" w:type="dxa"/>
            <w:shd w:val="clear" w:color="auto" w:fill="D9D9D9"/>
          </w:tcPr>
          <w:p w:rsidR="005F4C24" w:rsidRDefault="004C2B0D">
            <w:pPr>
              <w:pBdr>
                <w:top w:val="nil"/>
                <w:left w:val="nil"/>
                <w:bottom w:val="nil"/>
                <w:right w:val="nil"/>
                <w:between w:val="nil"/>
              </w:pBdr>
              <w:spacing w:before="120" w:after="120"/>
              <w:rPr>
                <w:sz w:val="18"/>
                <w:szCs w:val="18"/>
              </w:rPr>
            </w:pPr>
            <w:r>
              <w:rPr>
                <w:sz w:val="18"/>
                <w:szCs w:val="18"/>
              </w:rPr>
              <w:t>Further information and assurance status</w:t>
            </w:r>
          </w:p>
        </w:tc>
      </w:tr>
      <w:tr w:rsidR="005F4C24">
        <w:trPr>
          <w:cantSplit/>
        </w:trPr>
        <w:tc>
          <w:tcPr>
            <w:tcW w:w="738" w:type="dxa"/>
          </w:tcPr>
          <w:p w:rsidR="005F4C24" w:rsidRDefault="004C2B0D">
            <w:pPr>
              <w:pBdr>
                <w:top w:val="nil"/>
                <w:left w:val="nil"/>
                <w:bottom w:val="nil"/>
                <w:right w:val="nil"/>
                <w:between w:val="nil"/>
              </w:pBdr>
              <w:spacing w:before="120" w:after="120"/>
              <w:rPr>
                <w:sz w:val="18"/>
                <w:szCs w:val="18"/>
              </w:rPr>
            </w:pPr>
            <w:r>
              <w:rPr>
                <w:sz w:val="18"/>
                <w:szCs w:val="18"/>
              </w:rPr>
              <w:t>C1</w:t>
            </w:r>
          </w:p>
        </w:tc>
        <w:tc>
          <w:tcPr>
            <w:tcW w:w="1710" w:type="dxa"/>
          </w:tcPr>
          <w:p w:rsidR="005F4C24" w:rsidRDefault="004C2B0D">
            <w:pPr>
              <w:keepNext/>
              <w:pBdr>
                <w:top w:val="nil"/>
                <w:left w:val="nil"/>
                <w:bottom w:val="nil"/>
                <w:right w:val="nil"/>
                <w:between w:val="nil"/>
              </w:pBdr>
              <w:spacing w:before="120" w:after="120"/>
              <w:rPr>
                <w:sz w:val="18"/>
                <w:szCs w:val="18"/>
              </w:rPr>
            </w:pPr>
            <w:r>
              <w:rPr>
                <w:sz w:val="18"/>
                <w:szCs w:val="18"/>
              </w:rPr>
              <w:t>Internet-facing firewalls</w:t>
            </w:r>
          </w:p>
        </w:tc>
        <w:tc>
          <w:tcPr>
            <w:tcW w:w="2970" w:type="dxa"/>
          </w:tcPr>
          <w:p w:rsidR="005F4C24" w:rsidRDefault="004C2B0D">
            <w:pPr>
              <w:keepNext/>
              <w:pBdr>
                <w:top w:val="nil"/>
                <w:left w:val="nil"/>
                <w:bottom w:val="nil"/>
                <w:right w:val="nil"/>
                <w:between w:val="nil"/>
              </w:pBdr>
              <w:spacing w:before="120" w:after="120"/>
              <w:rPr>
                <w:sz w:val="18"/>
                <w:szCs w:val="18"/>
              </w:rPr>
            </w:pPr>
            <w:r>
              <w:rPr>
                <w:sz w:val="18"/>
                <w:szCs w:val="18"/>
              </w:rPr>
              <w:t>Internet-facing firewalls are in place between the internet and the system’, which restrict access from the internet to the required ports only.</w:t>
            </w:r>
          </w:p>
        </w:tc>
        <w:tc>
          <w:tcPr>
            <w:tcW w:w="2970" w:type="dxa"/>
          </w:tcPr>
          <w:p w:rsidR="005F4C24" w:rsidRDefault="004C2B0D">
            <w:pPr>
              <w:pBdr>
                <w:top w:val="nil"/>
                <w:left w:val="nil"/>
                <w:bottom w:val="nil"/>
                <w:right w:val="nil"/>
                <w:between w:val="nil"/>
              </w:pBdr>
              <w:spacing w:before="120" w:after="120"/>
              <w:rPr>
                <w:sz w:val="18"/>
                <w:szCs w:val="18"/>
              </w:rPr>
            </w:pPr>
            <w:r>
              <w:rPr>
                <w:sz w:val="18"/>
                <w:szCs w:val="18"/>
              </w:rPr>
              <w:t>Assured via ITHC firewall rule check</w:t>
            </w:r>
          </w:p>
        </w:tc>
      </w:tr>
      <w:tr w:rsidR="005F4C24">
        <w:trPr>
          <w:cantSplit/>
        </w:trPr>
        <w:tc>
          <w:tcPr>
            <w:tcW w:w="738" w:type="dxa"/>
          </w:tcPr>
          <w:p w:rsidR="005F4C24" w:rsidRDefault="004C2B0D">
            <w:pPr>
              <w:pBdr>
                <w:top w:val="nil"/>
                <w:left w:val="nil"/>
                <w:bottom w:val="nil"/>
                <w:right w:val="nil"/>
                <w:between w:val="nil"/>
              </w:pBdr>
              <w:spacing w:before="120" w:after="120"/>
              <w:rPr>
                <w:sz w:val="18"/>
                <w:szCs w:val="18"/>
              </w:rPr>
            </w:pPr>
            <w:r>
              <w:rPr>
                <w:sz w:val="18"/>
                <w:szCs w:val="18"/>
              </w:rPr>
              <w:t>C2</w:t>
            </w:r>
          </w:p>
        </w:tc>
        <w:tc>
          <w:tcPr>
            <w:tcW w:w="1710" w:type="dxa"/>
          </w:tcPr>
          <w:p w:rsidR="005F4C24" w:rsidRDefault="004C2B0D">
            <w:pPr>
              <w:keepNext/>
              <w:pBdr>
                <w:top w:val="nil"/>
                <w:left w:val="nil"/>
                <w:bottom w:val="nil"/>
                <w:right w:val="nil"/>
                <w:between w:val="nil"/>
              </w:pBdr>
              <w:spacing w:before="120" w:after="120"/>
              <w:rPr>
                <w:sz w:val="18"/>
                <w:szCs w:val="18"/>
              </w:rPr>
            </w:pPr>
            <w:r>
              <w:rPr>
                <w:sz w:val="18"/>
                <w:szCs w:val="18"/>
              </w:rPr>
              <w:t>Internet-facing IP whitelist</w:t>
            </w:r>
          </w:p>
        </w:tc>
        <w:tc>
          <w:tcPr>
            <w:tcW w:w="2970" w:type="dxa"/>
          </w:tcPr>
          <w:p w:rsidR="005F4C24" w:rsidRDefault="004C2B0D">
            <w:pPr>
              <w:pBdr>
                <w:top w:val="nil"/>
                <w:left w:val="nil"/>
                <w:bottom w:val="nil"/>
                <w:right w:val="nil"/>
                <w:between w:val="nil"/>
              </w:pBdr>
              <w:spacing w:before="120" w:after="120"/>
              <w:rPr>
                <w:sz w:val="18"/>
                <w:szCs w:val="18"/>
              </w:rPr>
            </w:pPr>
            <w:r>
              <w:rPr>
                <w:sz w:val="18"/>
                <w:szCs w:val="18"/>
              </w:rPr>
              <w:t xml:space="preserve">An IP whitelist is in place for all access from the internet. </w:t>
            </w:r>
          </w:p>
        </w:tc>
        <w:tc>
          <w:tcPr>
            <w:tcW w:w="2970" w:type="dxa"/>
          </w:tcPr>
          <w:p w:rsidR="005F4C24" w:rsidRDefault="004C2B0D">
            <w:pPr>
              <w:pBdr>
                <w:top w:val="nil"/>
                <w:left w:val="nil"/>
                <w:bottom w:val="nil"/>
                <w:right w:val="nil"/>
                <w:between w:val="nil"/>
              </w:pBdr>
              <w:spacing w:before="120" w:after="120"/>
              <w:rPr>
                <w:sz w:val="18"/>
                <w:szCs w:val="18"/>
              </w:rPr>
            </w:pPr>
            <w:r>
              <w:rPr>
                <w:sz w:val="18"/>
                <w:szCs w:val="18"/>
              </w:rPr>
              <w:t>Assured via ITHC</w:t>
            </w:r>
          </w:p>
        </w:tc>
      </w:tr>
      <w:tr w:rsidR="005F4C24">
        <w:trPr>
          <w:cantSplit/>
        </w:trPr>
        <w:tc>
          <w:tcPr>
            <w:tcW w:w="738" w:type="dxa"/>
          </w:tcPr>
          <w:p w:rsidR="005F4C24" w:rsidRDefault="004C2B0D">
            <w:pPr>
              <w:pBdr>
                <w:top w:val="nil"/>
                <w:left w:val="nil"/>
                <w:bottom w:val="nil"/>
                <w:right w:val="nil"/>
                <w:between w:val="nil"/>
              </w:pBdr>
              <w:spacing w:before="120" w:after="120"/>
              <w:rPr>
                <w:sz w:val="18"/>
                <w:szCs w:val="18"/>
              </w:rPr>
            </w:pPr>
            <w:r>
              <w:rPr>
                <w:sz w:val="18"/>
                <w:szCs w:val="18"/>
              </w:rPr>
              <w:t>C15</w:t>
            </w:r>
          </w:p>
        </w:tc>
        <w:tc>
          <w:tcPr>
            <w:tcW w:w="1710" w:type="dxa"/>
          </w:tcPr>
          <w:p w:rsidR="005F4C24" w:rsidRDefault="004C2B0D">
            <w:pPr>
              <w:pBdr>
                <w:top w:val="nil"/>
                <w:left w:val="nil"/>
                <w:bottom w:val="nil"/>
                <w:right w:val="nil"/>
                <w:between w:val="nil"/>
              </w:pBdr>
              <w:spacing w:before="120" w:after="120"/>
              <w:rPr>
                <w:sz w:val="18"/>
                <w:szCs w:val="18"/>
              </w:rPr>
            </w:pPr>
            <w:r>
              <w:rPr>
                <w:sz w:val="18"/>
                <w:szCs w:val="18"/>
              </w:rPr>
              <w:t>Staff awareness training</w:t>
            </w:r>
          </w:p>
        </w:tc>
        <w:tc>
          <w:tcPr>
            <w:tcW w:w="2970" w:type="dxa"/>
          </w:tcPr>
          <w:p w:rsidR="005F4C24" w:rsidRDefault="004C2B0D">
            <w:pPr>
              <w:pBdr>
                <w:top w:val="nil"/>
                <w:left w:val="nil"/>
                <w:bottom w:val="nil"/>
                <w:right w:val="nil"/>
                <w:between w:val="nil"/>
              </w:pBdr>
              <w:spacing w:before="120" w:after="120"/>
              <w:rPr>
                <w:sz w:val="18"/>
                <w:szCs w:val="18"/>
              </w:rPr>
            </w:pPr>
            <w:r>
              <w:rPr>
                <w:sz w:val="18"/>
                <w:szCs w:val="18"/>
              </w:rPr>
              <w:t>All staff must undertake annual security awareness training and this process is audited and monitored by line managers.</w:t>
            </w:r>
          </w:p>
        </w:tc>
        <w:tc>
          <w:tcPr>
            <w:tcW w:w="2970" w:type="dxa"/>
          </w:tcPr>
          <w:p w:rsidR="005F4C24" w:rsidRDefault="004C2B0D">
            <w:pPr>
              <w:pBdr>
                <w:top w:val="nil"/>
                <w:left w:val="nil"/>
                <w:bottom w:val="nil"/>
                <w:right w:val="nil"/>
                <w:between w:val="nil"/>
              </w:pBdr>
              <w:spacing w:before="120" w:after="120"/>
              <w:rPr>
                <w:sz w:val="18"/>
                <w:szCs w:val="18"/>
              </w:rPr>
            </w:pPr>
            <w:r>
              <w:rPr>
                <w:sz w:val="18"/>
                <w:szCs w:val="18"/>
              </w:rPr>
              <w:t>Assured as part of ISO27001 certification</w:t>
            </w:r>
          </w:p>
        </w:tc>
      </w:tr>
    </w:tbl>
    <w:p w:rsidR="005F4C24" w:rsidRDefault="005F4C24">
      <w:pPr>
        <w:pBdr>
          <w:top w:val="nil"/>
          <w:left w:val="nil"/>
          <w:bottom w:val="nil"/>
          <w:right w:val="nil"/>
          <w:between w:val="nil"/>
        </w:pBdr>
        <w:spacing w:after="0"/>
        <w:rPr>
          <w:color w:val="000000"/>
        </w:rPr>
      </w:pPr>
    </w:p>
    <w:p w:rsidR="005F4C24" w:rsidRDefault="004C2B0D">
      <w:pPr>
        <w:keepNext/>
        <w:numPr>
          <w:ilvl w:val="1"/>
          <w:numId w:val="19"/>
        </w:numPr>
        <w:pBdr>
          <w:top w:val="nil"/>
          <w:left w:val="nil"/>
          <w:bottom w:val="nil"/>
          <w:right w:val="nil"/>
          <w:between w:val="nil"/>
        </w:pBdr>
        <w:rPr>
          <w:b/>
          <w:color w:val="000000"/>
        </w:rPr>
      </w:pPr>
      <w:r>
        <w:rPr>
          <w:b/>
          <w:color w:val="000000"/>
        </w:rPr>
        <w:t>Residual risks and actions</w:t>
      </w:r>
    </w:p>
    <w:p w:rsidR="005F4C24" w:rsidRDefault="004C2B0D">
      <w:pPr>
        <w:numPr>
          <w:ilvl w:val="0"/>
          <w:numId w:val="37"/>
        </w:numPr>
        <w:pBdr>
          <w:top w:val="nil"/>
          <w:left w:val="nil"/>
          <w:bottom w:val="nil"/>
          <w:right w:val="nil"/>
          <w:between w:val="nil"/>
        </w:pBdr>
      </w:pPr>
      <w:r>
        <w:rPr>
          <w:color w:val="000000"/>
        </w:rPr>
        <w:t>[</w:t>
      </w:r>
      <w:r>
        <w:rPr>
          <w:i/>
          <w:color w:val="000000"/>
        </w:rPr>
        <w:t>A summary of the residual risks which are likely to be above the risk appetite stated after all controls have been applied and verified should be listed with actions and timescales included</w:t>
      </w:r>
      <w:r>
        <w:rPr>
          <w:color w:val="000000"/>
        </w:rPr>
        <w:t>.]</w:t>
      </w:r>
    </w:p>
    <w:p w:rsidR="005F4C24" w:rsidRDefault="004C2B0D">
      <w:pPr>
        <w:keepNext/>
        <w:numPr>
          <w:ilvl w:val="0"/>
          <w:numId w:val="19"/>
        </w:numPr>
        <w:pBdr>
          <w:top w:val="nil"/>
          <w:left w:val="nil"/>
          <w:bottom w:val="nil"/>
          <w:right w:val="nil"/>
          <w:between w:val="nil"/>
        </w:pBdr>
        <w:spacing w:before="360"/>
      </w:pPr>
      <w:bookmarkStart w:id="161" w:name="_heading=h.13qzunr" w:colFirst="0" w:colLast="0"/>
      <w:bookmarkEnd w:id="161"/>
      <w:r>
        <w:rPr>
          <w:b/>
          <w:color w:val="000000"/>
          <w:sz w:val="24"/>
          <w:szCs w:val="24"/>
        </w:rPr>
        <w:t>In-service controls</w:t>
      </w:r>
    </w:p>
    <w:p w:rsidR="005F4C24" w:rsidRDefault="004C2B0D">
      <w:pPr>
        <w:numPr>
          <w:ilvl w:val="0"/>
          <w:numId w:val="37"/>
        </w:numPr>
        <w:pBdr>
          <w:top w:val="nil"/>
          <w:left w:val="nil"/>
          <w:bottom w:val="nil"/>
          <w:right w:val="nil"/>
          <w:between w:val="nil"/>
        </w:pBdr>
      </w:pPr>
      <w:r>
        <w:rPr>
          <w:color w:val="000000"/>
        </w:rPr>
        <w:t>[</w:t>
      </w:r>
      <w:r>
        <w:rPr>
          <w:i/>
          <w:color w:val="000000"/>
        </w:rPr>
        <w:t>This section should describe how the main security requirements as specified in the contract (security schedule) are met.</w:t>
      </w:r>
      <w:r>
        <w:rPr>
          <w:color w:val="000000"/>
        </w:rPr>
        <w:t>]</w:t>
      </w:r>
    </w:p>
    <w:p w:rsidR="005F4C24" w:rsidRDefault="004C2B0D">
      <w:pPr>
        <w:keepNext/>
        <w:numPr>
          <w:ilvl w:val="1"/>
          <w:numId w:val="19"/>
        </w:numPr>
        <w:pBdr>
          <w:top w:val="nil"/>
          <w:left w:val="nil"/>
          <w:bottom w:val="nil"/>
          <w:right w:val="nil"/>
          <w:between w:val="nil"/>
        </w:pBdr>
        <w:rPr>
          <w:b/>
          <w:color w:val="000000"/>
        </w:rPr>
      </w:pPr>
      <w:r>
        <w:rPr>
          <w:b/>
          <w:color w:val="000000"/>
        </w:rPr>
        <w:t xml:space="preserve">Protective monitoring </w:t>
      </w:r>
    </w:p>
    <w:p w:rsidR="005F4C24" w:rsidRDefault="004C2B0D">
      <w:pPr>
        <w:numPr>
          <w:ilvl w:val="0"/>
          <w:numId w:val="37"/>
        </w:numPr>
        <w:pBdr>
          <w:top w:val="nil"/>
          <w:left w:val="nil"/>
          <w:bottom w:val="nil"/>
          <w:right w:val="nil"/>
          <w:between w:val="nil"/>
        </w:pBdr>
      </w:pPr>
      <w:r>
        <w:rPr>
          <w:color w:val="000000"/>
        </w:rPr>
        <w:t>[</w:t>
      </w:r>
      <w:r>
        <w:rPr>
          <w:i/>
          <w:color w:val="000000"/>
        </w:rPr>
        <w:t>This section should describe how your protective monitoring arrangements identify anomalous behaviour and how this is then acted upon as well as how logging and auditing of user activity is done.</w:t>
      </w:r>
      <w:r>
        <w:rPr>
          <w:color w:val="000000"/>
        </w:rPr>
        <w:t>]</w:t>
      </w:r>
    </w:p>
    <w:p w:rsidR="005F4C24" w:rsidRDefault="004C2B0D">
      <w:pPr>
        <w:keepNext/>
        <w:numPr>
          <w:ilvl w:val="1"/>
          <w:numId w:val="19"/>
        </w:numPr>
        <w:pBdr>
          <w:top w:val="nil"/>
          <w:left w:val="nil"/>
          <w:bottom w:val="nil"/>
          <w:right w:val="nil"/>
          <w:between w:val="nil"/>
        </w:pBdr>
        <w:rPr>
          <w:b/>
          <w:color w:val="000000"/>
        </w:rPr>
      </w:pPr>
      <w:r>
        <w:rPr>
          <w:b/>
          <w:color w:val="000000"/>
        </w:rPr>
        <w:lastRenderedPageBreak/>
        <w:t>Malware prevention</w:t>
      </w:r>
    </w:p>
    <w:p w:rsidR="005F4C24" w:rsidRDefault="004C2B0D">
      <w:pPr>
        <w:numPr>
          <w:ilvl w:val="0"/>
          <w:numId w:val="37"/>
        </w:numPr>
        <w:pBdr>
          <w:top w:val="nil"/>
          <w:left w:val="nil"/>
          <w:bottom w:val="nil"/>
          <w:right w:val="nil"/>
          <w:between w:val="nil"/>
        </w:pBdr>
      </w:pPr>
      <w:r>
        <w:rPr>
          <w:color w:val="000000"/>
        </w:rPr>
        <w:t>[</w:t>
      </w:r>
      <w:r>
        <w:rPr>
          <w:i/>
          <w:color w:val="000000"/>
        </w:rPr>
        <w:t>This should describe how your anti-virus solution is implemented with respect to protecting Authority assets</w:t>
      </w:r>
      <w:r>
        <w:rPr>
          <w:color w:val="000000"/>
        </w:rPr>
        <w:t>.]</w:t>
      </w:r>
    </w:p>
    <w:p w:rsidR="005F4C24" w:rsidRDefault="004C2B0D">
      <w:pPr>
        <w:keepNext/>
        <w:numPr>
          <w:ilvl w:val="1"/>
          <w:numId w:val="19"/>
        </w:numPr>
        <w:pBdr>
          <w:top w:val="nil"/>
          <w:left w:val="nil"/>
          <w:bottom w:val="nil"/>
          <w:right w:val="nil"/>
          <w:between w:val="nil"/>
        </w:pBdr>
        <w:rPr>
          <w:b/>
          <w:color w:val="000000"/>
        </w:rPr>
      </w:pPr>
      <w:r>
        <w:rPr>
          <w:b/>
          <w:color w:val="000000"/>
        </w:rPr>
        <w:t>End user devices</w:t>
      </w:r>
    </w:p>
    <w:p w:rsidR="005F4C24" w:rsidRDefault="004C2B0D">
      <w:pPr>
        <w:numPr>
          <w:ilvl w:val="0"/>
          <w:numId w:val="37"/>
        </w:numPr>
        <w:pBdr>
          <w:top w:val="nil"/>
          <w:left w:val="nil"/>
          <w:bottom w:val="nil"/>
          <w:right w:val="nil"/>
          <w:between w:val="nil"/>
        </w:pBdr>
      </w:pPr>
      <w:r>
        <w:rPr>
          <w:color w:val="000000"/>
        </w:rPr>
        <w:t>[</w:t>
      </w:r>
      <w:r>
        <w:rPr>
          <w:i/>
          <w:color w:val="000000"/>
        </w:rPr>
        <w:t>This section should detail the security controls which are implemented on all fixed and removable end user devices used to process, store or manage Authority data against the end-user device requirements in this contract.</w:t>
      </w:r>
      <w:r>
        <w:rPr>
          <w:color w:val="000000"/>
        </w:rPr>
        <w:t>]</w:t>
      </w:r>
    </w:p>
    <w:p w:rsidR="005F4C24" w:rsidRDefault="004C2B0D">
      <w:pPr>
        <w:keepNext/>
        <w:numPr>
          <w:ilvl w:val="1"/>
          <w:numId w:val="19"/>
        </w:numPr>
        <w:pBdr>
          <w:top w:val="nil"/>
          <w:left w:val="nil"/>
          <w:bottom w:val="nil"/>
          <w:right w:val="nil"/>
          <w:between w:val="nil"/>
        </w:pBdr>
        <w:rPr>
          <w:b/>
          <w:color w:val="000000"/>
        </w:rPr>
      </w:pPr>
      <w:r>
        <w:rPr>
          <w:b/>
          <w:color w:val="000000"/>
        </w:rPr>
        <w:t>Encryption</w:t>
      </w:r>
    </w:p>
    <w:p w:rsidR="005F4C24" w:rsidRDefault="004C2B0D">
      <w:pPr>
        <w:numPr>
          <w:ilvl w:val="0"/>
          <w:numId w:val="37"/>
        </w:numPr>
        <w:pBdr>
          <w:top w:val="nil"/>
          <w:left w:val="nil"/>
          <w:bottom w:val="nil"/>
          <w:right w:val="nil"/>
          <w:between w:val="nil"/>
        </w:pBdr>
      </w:pPr>
      <w:r>
        <w:rPr>
          <w:color w:val="000000"/>
        </w:rPr>
        <w:t>[</w:t>
      </w:r>
      <w:r>
        <w:rPr>
          <w:i/>
          <w:color w:val="000000"/>
        </w:rPr>
        <w:t>This section should detail the encryption measures you employ to protect Authority data both in transit and at rest</w:t>
      </w:r>
      <w:r>
        <w:rPr>
          <w:color w:val="000000"/>
        </w:rPr>
        <w:t>.]</w:t>
      </w:r>
    </w:p>
    <w:p w:rsidR="005F4C24" w:rsidRDefault="004C2B0D">
      <w:pPr>
        <w:keepNext/>
        <w:numPr>
          <w:ilvl w:val="1"/>
          <w:numId w:val="19"/>
        </w:numPr>
        <w:pBdr>
          <w:top w:val="nil"/>
          <w:left w:val="nil"/>
          <w:bottom w:val="nil"/>
          <w:right w:val="nil"/>
          <w:between w:val="nil"/>
        </w:pBdr>
        <w:rPr>
          <w:b/>
          <w:color w:val="000000"/>
        </w:rPr>
      </w:pPr>
      <w:r>
        <w:rPr>
          <w:b/>
          <w:color w:val="000000"/>
        </w:rPr>
        <w:t>Vulnerability management</w:t>
      </w:r>
    </w:p>
    <w:p w:rsidR="005F4C24" w:rsidRDefault="004C2B0D">
      <w:pPr>
        <w:numPr>
          <w:ilvl w:val="0"/>
          <w:numId w:val="37"/>
        </w:numPr>
        <w:pBdr>
          <w:top w:val="nil"/>
          <w:left w:val="nil"/>
          <w:bottom w:val="nil"/>
          <w:right w:val="nil"/>
          <w:between w:val="nil"/>
        </w:pBdr>
      </w:pPr>
      <w:r>
        <w:rPr>
          <w:color w:val="000000"/>
        </w:rPr>
        <w:t>[</w:t>
      </w:r>
      <w:r>
        <w:rPr>
          <w:i/>
          <w:color w:val="000000"/>
        </w:rPr>
        <w:t>This section should detail your process for identifying, classifying, prioritising, remediating, and mitigating" software vulnerabilities within your IT environment.</w:t>
      </w:r>
      <w:r>
        <w:rPr>
          <w:color w:val="000000"/>
        </w:rPr>
        <w:t>]</w:t>
      </w:r>
    </w:p>
    <w:p w:rsidR="005F4C24" w:rsidRDefault="004C2B0D">
      <w:pPr>
        <w:keepNext/>
        <w:numPr>
          <w:ilvl w:val="1"/>
          <w:numId w:val="19"/>
        </w:numPr>
        <w:pBdr>
          <w:top w:val="nil"/>
          <w:left w:val="nil"/>
          <w:bottom w:val="nil"/>
          <w:right w:val="nil"/>
          <w:between w:val="nil"/>
        </w:pBdr>
        <w:rPr>
          <w:b/>
          <w:color w:val="000000"/>
        </w:rPr>
      </w:pPr>
      <w:r>
        <w:rPr>
          <w:b/>
          <w:color w:val="000000"/>
        </w:rPr>
        <w:t xml:space="preserve">Identity, verification and access controls </w:t>
      </w:r>
    </w:p>
    <w:p w:rsidR="005F4C24" w:rsidRDefault="004C2B0D">
      <w:pPr>
        <w:numPr>
          <w:ilvl w:val="0"/>
          <w:numId w:val="37"/>
        </w:numPr>
        <w:pBdr>
          <w:top w:val="nil"/>
          <w:left w:val="nil"/>
          <w:bottom w:val="nil"/>
          <w:right w:val="nil"/>
          <w:between w:val="nil"/>
        </w:pBdr>
      </w:pPr>
      <w:r>
        <w:rPr>
          <w:color w:val="000000"/>
        </w:rPr>
        <w:t>[</w:t>
      </w:r>
      <w:r>
        <w:rPr>
          <w:i/>
          <w:color w:val="000000"/>
        </w:rPr>
        <w:t xml:space="preserve">This section should detail your password policy, your approach to ensuring that privileged </w:t>
      </w:r>
      <w:proofErr w:type="gramStart"/>
      <w:r>
        <w:rPr>
          <w:i/>
          <w:color w:val="000000"/>
        </w:rPr>
        <w:t>accounts  are</w:t>
      </w:r>
      <w:proofErr w:type="gramEnd"/>
      <w:r>
        <w:rPr>
          <w:i/>
          <w:color w:val="000000"/>
        </w:rPr>
        <w:t xml:space="preserve"> accessible only from end-user devices dedicated to that use and by authenticated named users. This should include your use of multi-factor authentication for all accounts that have access to Authority data as well as privileged accounts.</w:t>
      </w:r>
      <w:r>
        <w:rPr>
          <w:color w:val="000000"/>
        </w:rPr>
        <w:t>]</w:t>
      </w:r>
    </w:p>
    <w:p w:rsidR="005F4C24" w:rsidRDefault="004C2B0D">
      <w:pPr>
        <w:keepNext/>
        <w:numPr>
          <w:ilvl w:val="1"/>
          <w:numId w:val="19"/>
        </w:numPr>
        <w:pBdr>
          <w:top w:val="nil"/>
          <w:left w:val="nil"/>
          <w:bottom w:val="nil"/>
          <w:right w:val="nil"/>
          <w:between w:val="nil"/>
        </w:pBdr>
        <w:rPr>
          <w:b/>
          <w:color w:val="000000"/>
        </w:rPr>
      </w:pPr>
      <w:r>
        <w:rPr>
          <w:b/>
          <w:color w:val="000000"/>
        </w:rPr>
        <w:t>Data Deletion</w:t>
      </w:r>
    </w:p>
    <w:p w:rsidR="005F4C24" w:rsidRDefault="004C2B0D">
      <w:pPr>
        <w:numPr>
          <w:ilvl w:val="0"/>
          <w:numId w:val="37"/>
        </w:numPr>
        <w:pBdr>
          <w:top w:val="nil"/>
          <w:left w:val="nil"/>
          <w:bottom w:val="nil"/>
          <w:right w:val="nil"/>
          <w:between w:val="nil"/>
        </w:pBdr>
        <w:rPr>
          <w:highlight w:val="yellow"/>
        </w:rPr>
      </w:pPr>
      <w:r>
        <w:rPr>
          <w:color w:val="000000"/>
          <w:highlight w:val="yellow"/>
        </w:rPr>
        <w:t>[</w:t>
      </w:r>
      <w:r>
        <w:rPr>
          <w:i/>
          <w:color w:val="000000"/>
          <w:highlight w:val="yellow"/>
        </w:rPr>
        <w:t>This section should include the agreed process for securely deleting Authority data when required.</w:t>
      </w:r>
      <w:r>
        <w:rPr>
          <w:color w:val="000000"/>
          <w:highlight w:val="yellow"/>
        </w:rPr>
        <w:t>]</w:t>
      </w:r>
    </w:p>
    <w:p w:rsidR="005F4C24" w:rsidRDefault="004C2B0D">
      <w:pPr>
        <w:keepNext/>
        <w:numPr>
          <w:ilvl w:val="0"/>
          <w:numId w:val="19"/>
        </w:numPr>
        <w:pBdr>
          <w:top w:val="nil"/>
          <w:left w:val="nil"/>
          <w:bottom w:val="nil"/>
          <w:right w:val="nil"/>
          <w:between w:val="nil"/>
        </w:pBdr>
        <w:spacing w:before="360"/>
      </w:pPr>
      <w:bookmarkStart w:id="162" w:name="_heading=h.3nqndbk" w:colFirst="0" w:colLast="0"/>
      <w:bookmarkEnd w:id="162"/>
      <w:r>
        <w:rPr>
          <w:b/>
          <w:color w:val="000000"/>
          <w:sz w:val="24"/>
          <w:szCs w:val="24"/>
        </w:rPr>
        <w:t xml:space="preserve">Supply chain security and </w:t>
      </w:r>
      <w:proofErr w:type="gramStart"/>
      <w:r>
        <w:rPr>
          <w:b/>
          <w:color w:val="000000"/>
          <w:sz w:val="24"/>
          <w:szCs w:val="24"/>
        </w:rPr>
        <w:t>third party</w:t>
      </w:r>
      <w:proofErr w:type="gramEnd"/>
      <w:r>
        <w:rPr>
          <w:b/>
          <w:color w:val="000000"/>
          <w:sz w:val="24"/>
          <w:szCs w:val="24"/>
        </w:rPr>
        <w:t xml:space="preserve"> subcontractors/tools</w:t>
      </w:r>
    </w:p>
    <w:p w:rsidR="005F4C24" w:rsidRDefault="004C2B0D">
      <w:pPr>
        <w:numPr>
          <w:ilvl w:val="0"/>
          <w:numId w:val="37"/>
        </w:numPr>
        <w:pBdr>
          <w:top w:val="nil"/>
          <w:left w:val="nil"/>
          <w:bottom w:val="nil"/>
          <w:right w:val="nil"/>
          <w:between w:val="nil"/>
        </w:pBdr>
      </w:pPr>
      <w:r>
        <w:rPr>
          <w:color w:val="000000"/>
        </w:rPr>
        <w:t>[</w:t>
      </w:r>
      <w:r>
        <w:rPr>
          <w:i/>
          <w:color w:val="000000"/>
        </w:rPr>
        <w:t>This section should detail the assurance process for managing any security risks from Subcontractors and Third Parties authorised by the Authority with access to Authority data.</w:t>
      </w:r>
      <w:r>
        <w:rPr>
          <w:color w:val="000000"/>
        </w:rPr>
        <w:t>]</w:t>
      </w:r>
    </w:p>
    <w:p w:rsidR="005F4C24" w:rsidRDefault="004C2B0D">
      <w:pPr>
        <w:keepNext/>
        <w:numPr>
          <w:ilvl w:val="0"/>
          <w:numId w:val="19"/>
        </w:numPr>
        <w:pBdr>
          <w:top w:val="nil"/>
          <w:left w:val="nil"/>
          <w:bottom w:val="nil"/>
          <w:right w:val="nil"/>
          <w:between w:val="nil"/>
        </w:pBdr>
        <w:spacing w:before="360"/>
      </w:pPr>
      <w:bookmarkStart w:id="163" w:name="_heading=h.22vxnjd" w:colFirst="0" w:colLast="0"/>
      <w:bookmarkEnd w:id="163"/>
      <w:r>
        <w:rPr>
          <w:b/>
          <w:color w:val="000000"/>
          <w:sz w:val="24"/>
          <w:szCs w:val="24"/>
        </w:rPr>
        <w:t>Security requirements on participating departments, customers and users</w:t>
      </w:r>
    </w:p>
    <w:p w:rsidR="005F4C24" w:rsidRDefault="004C2B0D">
      <w:pPr>
        <w:numPr>
          <w:ilvl w:val="0"/>
          <w:numId w:val="37"/>
        </w:numPr>
        <w:pBdr>
          <w:top w:val="nil"/>
          <w:left w:val="nil"/>
          <w:bottom w:val="nil"/>
          <w:right w:val="nil"/>
          <w:between w:val="nil"/>
        </w:pBdr>
      </w:pPr>
      <w:r>
        <w:rPr>
          <w:color w:val="000000"/>
        </w:rPr>
        <w:t>[</w:t>
      </w:r>
      <w:r>
        <w:rPr>
          <w:i/>
          <w:color w:val="000000"/>
        </w:rPr>
        <w:t>Please detail any security requirements or codes of connection required by participating departments/agencies/third parties</w:t>
      </w:r>
      <w:r>
        <w:rPr>
          <w:color w:val="000000"/>
        </w:rPr>
        <w:t>.]</w:t>
      </w:r>
    </w:p>
    <w:p w:rsidR="005F4C24" w:rsidRDefault="004C2B0D">
      <w:pPr>
        <w:keepNext/>
        <w:numPr>
          <w:ilvl w:val="0"/>
          <w:numId w:val="19"/>
        </w:numPr>
        <w:pBdr>
          <w:top w:val="nil"/>
          <w:left w:val="nil"/>
          <w:bottom w:val="nil"/>
          <w:right w:val="nil"/>
          <w:between w:val="nil"/>
        </w:pBdr>
        <w:spacing w:before="360"/>
      </w:pPr>
      <w:bookmarkStart w:id="164" w:name="_heading=h.i17xr6" w:colFirst="0" w:colLast="0"/>
      <w:bookmarkEnd w:id="164"/>
      <w:r>
        <w:rPr>
          <w:b/>
          <w:color w:val="000000"/>
          <w:sz w:val="24"/>
          <w:szCs w:val="24"/>
        </w:rPr>
        <w:t xml:space="preserve">Personnel security </w:t>
      </w:r>
    </w:p>
    <w:p w:rsidR="005F4C24" w:rsidRDefault="004C2B0D">
      <w:pPr>
        <w:numPr>
          <w:ilvl w:val="0"/>
          <w:numId w:val="37"/>
        </w:numPr>
        <w:pBdr>
          <w:top w:val="nil"/>
          <w:left w:val="nil"/>
          <w:bottom w:val="nil"/>
          <w:right w:val="nil"/>
          <w:between w:val="nil"/>
        </w:pBdr>
        <w:rPr>
          <w:i/>
          <w:color w:val="000000"/>
        </w:rPr>
      </w:pPr>
      <w:r>
        <w:rPr>
          <w:color w:val="000000"/>
        </w:rPr>
        <w:t>[</w:t>
      </w:r>
      <w:r>
        <w:rPr>
          <w:i/>
          <w:color w:val="000000"/>
        </w:rPr>
        <w:t>Please provide details of your Personnel Security Vetting Policy for those staff who will have access to, or come into contact with Buyer data or assets.</w:t>
      </w:r>
    </w:p>
    <w:p w:rsidR="005F4C24" w:rsidRDefault="004C2B0D">
      <w:pPr>
        <w:numPr>
          <w:ilvl w:val="0"/>
          <w:numId w:val="37"/>
        </w:numPr>
        <w:pBdr>
          <w:top w:val="nil"/>
          <w:left w:val="nil"/>
          <w:bottom w:val="nil"/>
          <w:right w:val="nil"/>
          <w:between w:val="nil"/>
        </w:pBdr>
      </w:pPr>
      <w:r>
        <w:rPr>
          <w:i/>
          <w:color w:val="000000"/>
        </w:rPr>
        <w:t>Please provide details of how you will ensure that all staff accessing Buyer data are aware of the confidential nature of the data and comply with their legal and specific obligations under the Contract</w:t>
      </w:r>
      <w:r>
        <w:rPr>
          <w:color w:val="000000"/>
        </w:rPr>
        <w:t>.]</w:t>
      </w:r>
    </w:p>
    <w:p w:rsidR="005F4C24" w:rsidRDefault="004C2B0D">
      <w:pPr>
        <w:keepNext/>
        <w:numPr>
          <w:ilvl w:val="0"/>
          <w:numId w:val="19"/>
        </w:numPr>
        <w:pBdr>
          <w:top w:val="nil"/>
          <w:left w:val="nil"/>
          <w:bottom w:val="nil"/>
          <w:right w:val="nil"/>
          <w:between w:val="nil"/>
        </w:pBdr>
        <w:spacing w:before="360"/>
      </w:pPr>
      <w:bookmarkStart w:id="165" w:name="_heading=h.320vgez" w:colFirst="0" w:colLast="0"/>
      <w:bookmarkEnd w:id="165"/>
      <w:r>
        <w:rPr>
          <w:b/>
          <w:color w:val="000000"/>
          <w:sz w:val="24"/>
          <w:szCs w:val="24"/>
        </w:rPr>
        <w:lastRenderedPageBreak/>
        <w:t>Business continuity</w:t>
      </w:r>
    </w:p>
    <w:p w:rsidR="005F4C24" w:rsidRDefault="004C2B0D">
      <w:pPr>
        <w:numPr>
          <w:ilvl w:val="0"/>
          <w:numId w:val="37"/>
        </w:numPr>
        <w:pBdr>
          <w:top w:val="nil"/>
          <w:left w:val="nil"/>
          <w:bottom w:val="nil"/>
          <w:right w:val="nil"/>
          <w:between w:val="nil"/>
        </w:pBdr>
      </w:pPr>
      <w:r>
        <w:rPr>
          <w:color w:val="000000"/>
        </w:rPr>
        <w:t>[</w:t>
      </w:r>
      <w:r>
        <w:rPr>
          <w:i/>
          <w:color w:val="000000"/>
        </w:rPr>
        <w:t>Please provide an overview of your organisation’s business continuity and disaster recovery plans in terms of the Buyer data under the Contract, or attach a copy of your Business Continuity Plan.</w:t>
      </w:r>
      <w:r>
        <w:rPr>
          <w:color w:val="000000"/>
        </w:rPr>
        <w:t>]</w:t>
      </w:r>
    </w:p>
    <w:p w:rsidR="005F4C24" w:rsidRDefault="004C2B0D">
      <w:pPr>
        <w:keepNext/>
        <w:numPr>
          <w:ilvl w:val="0"/>
          <w:numId w:val="19"/>
        </w:numPr>
        <w:pBdr>
          <w:top w:val="nil"/>
          <w:left w:val="nil"/>
          <w:bottom w:val="nil"/>
          <w:right w:val="nil"/>
          <w:between w:val="nil"/>
        </w:pBdr>
        <w:spacing w:before="360"/>
      </w:pPr>
      <w:bookmarkStart w:id="166" w:name="_heading=h.1h65qms" w:colFirst="0" w:colLast="0"/>
      <w:bookmarkEnd w:id="166"/>
      <w:r>
        <w:rPr>
          <w:b/>
          <w:color w:val="000000"/>
          <w:sz w:val="24"/>
          <w:szCs w:val="24"/>
        </w:rPr>
        <w:t>Physical security</w:t>
      </w:r>
    </w:p>
    <w:p w:rsidR="005F4C24" w:rsidRDefault="004C2B0D">
      <w:pPr>
        <w:numPr>
          <w:ilvl w:val="0"/>
          <w:numId w:val="37"/>
        </w:numPr>
        <w:pBdr>
          <w:top w:val="nil"/>
          <w:left w:val="nil"/>
          <w:bottom w:val="nil"/>
          <w:right w:val="nil"/>
          <w:between w:val="nil"/>
        </w:pBdr>
        <w:rPr>
          <w:i/>
          <w:color w:val="000000"/>
        </w:rPr>
      </w:pPr>
      <w:r>
        <w:rPr>
          <w:color w:val="000000"/>
        </w:rPr>
        <w:t>[</w:t>
      </w:r>
      <w:r>
        <w:rPr>
          <w:i/>
          <w:color w:val="000000"/>
        </w:rPr>
        <w:t>Please provide details of the building where the service will operate from and describe the procedures and security in place to control access to premises and any areas holding Buyer assets. Detail measures such as construction of buildings used for handling Buyer assets, availability of lockable storage, procedures covering end of day/silent hours, key management, visitor controls.</w:t>
      </w:r>
    </w:p>
    <w:p w:rsidR="005F4C24" w:rsidRDefault="004C2B0D">
      <w:pPr>
        <w:numPr>
          <w:ilvl w:val="0"/>
          <w:numId w:val="37"/>
        </w:numPr>
        <w:pBdr>
          <w:top w:val="nil"/>
          <w:left w:val="nil"/>
          <w:bottom w:val="nil"/>
          <w:right w:val="nil"/>
          <w:between w:val="nil"/>
        </w:pBdr>
      </w:pPr>
      <w:r>
        <w:rPr>
          <w:i/>
          <w:color w:val="000000"/>
        </w:rPr>
        <w:t>Please also include details of any automated access controls, alarms and CCTV coverage. Please also provide details of the maintenance schedule of these security controls.&gt; For the locations where Authority assets are held please provide details of any procedures and security in place designed to control access to the site perimeter. Please detail the measures in place such as fencing, CCTV, guarding, and procedures and controls to handle staff and visitors requesting access to the site. Please also provide details of the maintenance schedule of your security controls</w:t>
      </w:r>
      <w:r>
        <w:rPr>
          <w:color w:val="000000"/>
        </w:rPr>
        <w:t>.]</w:t>
      </w:r>
    </w:p>
    <w:p w:rsidR="005F4C24" w:rsidRDefault="004C2B0D">
      <w:pPr>
        <w:keepNext/>
        <w:numPr>
          <w:ilvl w:val="0"/>
          <w:numId w:val="19"/>
        </w:numPr>
        <w:pBdr>
          <w:top w:val="nil"/>
          <w:left w:val="nil"/>
          <w:bottom w:val="nil"/>
          <w:right w:val="nil"/>
          <w:between w:val="nil"/>
        </w:pBdr>
        <w:spacing w:before="360"/>
      </w:pPr>
      <w:bookmarkStart w:id="167" w:name="_heading=h.415t9al" w:colFirst="0" w:colLast="0"/>
      <w:bookmarkEnd w:id="167"/>
      <w:r>
        <w:rPr>
          <w:b/>
          <w:color w:val="000000"/>
          <w:sz w:val="24"/>
          <w:szCs w:val="24"/>
        </w:rPr>
        <w:t xml:space="preserve">Major hardware and software and end of support dates </w:t>
      </w:r>
    </w:p>
    <w:p w:rsidR="005F4C24" w:rsidRDefault="004C2B0D">
      <w:pPr>
        <w:numPr>
          <w:ilvl w:val="0"/>
          <w:numId w:val="37"/>
        </w:numPr>
        <w:pBdr>
          <w:top w:val="nil"/>
          <w:left w:val="nil"/>
          <w:bottom w:val="nil"/>
          <w:right w:val="nil"/>
          <w:between w:val="nil"/>
        </w:pBdr>
      </w:pPr>
      <w:r>
        <w:rPr>
          <w:color w:val="000000"/>
        </w:rPr>
        <w:t>[</w:t>
      </w:r>
      <w:r>
        <w:rPr>
          <w:i/>
          <w:color w:val="000000"/>
        </w:rPr>
        <w:t>This should be a table which lists the end of support dates for hardware and software products and components. An example table is shown below.</w:t>
      </w:r>
      <w:r>
        <w:rPr>
          <w:color w:val="000000"/>
        </w:rPr>
        <w:t xml:space="preserve">] </w:t>
      </w:r>
    </w:p>
    <w:tbl>
      <w:tblPr>
        <w:tblStyle w:val="aff1"/>
        <w:tblW w:w="828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70"/>
        <w:gridCol w:w="1890"/>
        <w:gridCol w:w="2520"/>
        <w:gridCol w:w="2700"/>
      </w:tblGrid>
      <w:tr w:rsidR="005F4C24">
        <w:trPr>
          <w:cantSplit/>
        </w:trPr>
        <w:tc>
          <w:tcPr>
            <w:tcW w:w="1170" w:type="dxa"/>
            <w:shd w:val="clear" w:color="auto" w:fill="E7E6E6"/>
          </w:tcPr>
          <w:p w:rsidR="005F4C24" w:rsidRDefault="004C2B0D">
            <w:pPr>
              <w:spacing w:before="120" w:after="120"/>
              <w:jc w:val="center"/>
              <w:rPr>
                <w:sz w:val="18"/>
                <w:szCs w:val="18"/>
              </w:rPr>
            </w:pPr>
            <w:r>
              <w:rPr>
                <w:sz w:val="18"/>
                <w:szCs w:val="18"/>
              </w:rPr>
              <w:t>Name</w:t>
            </w:r>
          </w:p>
        </w:tc>
        <w:tc>
          <w:tcPr>
            <w:tcW w:w="1890" w:type="dxa"/>
            <w:shd w:val="clear" w:color="auto" w:fill="E7E6E6"/>
          </w:tcPr>
          <w:p w:rsidR="005F4C24" w:rsidRDefault="004C2B0D">
            <w:pPr>
              <w:spacing w:before="120" w:after="120"/>
              <w:jc w:val="center"/>
              <w:rPr>
                <w:sz w:val="18"/>
                <w:szCs w:val="18"/>
              </w:rPr>
            </w:pPr>
            <w:r>
              <w:rPr>
                <w:sz w:val="18"/>
                <w:szCs w:val="18"/>
              </w:rPr>
              <w:t>Version</w:t>
            </w:r>
          </w:p>
        </w:tc>
        <w:tc>
          <w:tcPr>
            <w:tcW w:w="2520" w:type="dxa"/>
            <w:shd w:val="clear" w:color="auto" w:fill="E7E6E6"/>
          </w:tcPr>
          <w:p w:rsidR="005F4C24" w:rsidRDefault="004C2B0D">
            <w:pPr>
              <w:spacing w:before="120" w:after="120"/>
              <w:jc w:val="center"/>
              <w:rPr>
                <w:sz w:val="18"/>
                <w:szCs w:val="18"/>
              </w:rPr>
            </w:pPr>
            <w:r>
              <w:rPr>
                <w:sz w:val="18"/>
                <w:szCs w:val="18"/>
              </w:rPr>
              <w:t>End of mainstream Support/Extended Support</w:t>
            </w:r>
          </w:p>
        </w:tc>
        <w:tc>
          <w:tcPr>
            <w:tcW w:w="2700" w:type="dxa"/>
            <w:shd w:val="clear" w:color="auto" w:fill="E7E6E6"/>
          </w:tcPr>
          <w:p w:rsidR="005F4C24" w:rsidRDefault="004C2B0D">
            <w:pPr>
              <w:spacing w:before="120" w:after="120"/>
              <w:jc w:val="center"/>
              <w:rPr>
                <w:sz w:val="18"/>
                <w:szCs w:val="18"/>
              </w:rPr>
            </w:pPr>
            <w:r>
              <w:rPr>
                <w:sz w:val="18"/>
                <w:szCs w:val="18"/>
              </w:rPr>
              <w:t>Notes/RAG Status</w:t>
            </w:r>
          </w:p>
        </w:tc>
      </w:tr>
      <w:tr w:rsidR="005F4C24">
        <w:trPr>
          <w:cantSplit/>
        </w:trPr>
        <w:tc>
          <w:tcPr>
            <w:tcW w:w="1170" w:type="dxa"/>
          </w:tcPr>
          <w:p w:rsidR="005F4C24" w:rsidRDefault="004C2B0D">
            <w:pPr>
              <w:spacing w:before="120" w:after="120"/>
              <w:rPr>
                <w:sz w:val="18"/>
                <w:szCs w:val="18"/>
              </w:rPr>
            </w:pPr>
            <w:r>
              <w:rPr>
                <w:sz w:val="18"/>
                <w:szCs w:val="18"/>
              </w:rPr>
              <w:t>Server Host</w:t>
            </w:r>
          </w:p>
        </w:tc>
        <w:tc>
          <w:tcPr>
            <w:tcW w:w="1890" w:type="dxa"/>
          </w:tcPr>
          <w:p w:rsidR="005F4C24" w:rsidRDefault="004C2B0D">
            <w:pPr>
              <w:spacing w:before="120" w:after="120"/>
              <w:rPr>
                <w:sz w:val="18"/>
                <w:szCs w:val="18"/>
              </w:rPr>
            </w:pPr>
            <w:r>
              <w:rPr>
                <w:sz w:val="18"/>
                <w:szCs w:val="18"/>
              </w:rPr>
              <w:t>Supplier name XXXX</w:t>
            </w:r>
          </w:p>
        </w:tc>
        <w:tc>
          <w:tcPr>
            <w:tcW w:w="2520" w:type="dxa"/>
          </w:tcPr>
          <w:p w:rsidR="005F4C24" w:rsidRDefault="004C2B0D">
            <w:pPr>
              <w:spacing w:before="120" w:after="120"/>
              <w:rPr>
                <w:sz w:val="18"/>
                <w:szCs w:val="18"/>
              </w:rPr>
            </w:pPr>
            <w:r>
              <w:rPr>
                <w:sz w:val="18"/>
                <w:szCs w:val="18"/>
              </w:rPr>
              <w:t>Feb 2020/March 2022</w:t>
            </w:r>
          </w:p>
        </w:tc>
        <w:tc>
          <w:tcPr>
            <w:tcW w:w="2700" w:type="dxa"/>
            <w:shd w:val="clear" w:color="auto" w:fill="70AD47"/>
          </w:tcPr>
          <w:p w:rsidR="005F4C24" w:rsidRDefault="005F4C24">
            <w:pPr>
              <w:spacing w:before="120" w:after="120"/>
              <w:rPr>
                <w:sz w:val="18"/>
                <w:szCs w:val="18"/>
              </w:rPr>
            </w:pPr>
          </w:p>
        </w:tc>
      </w:tr>
    </w:tbl>
    <w:p w:rsidR="005F4C24" w:rsidRDefault="005F4C24">
      <w:pPr>
        <w:pBdr>
          <w:top w:val="nil"/>
          <w:left w:val="nil"/>
          <w:bottom w:val="nil"/>
          <w:right w:val="nil"/>
          <w:between w:val="nil"/>
        </w:pBdr>
        <w:spacing w:after="0"/>
        <w:rPr>
          <w:color w:val="000000"/>
        </w:rPr>
      </w:pPr>
      <w:bookmarkStart w:id="168" w:name="_heading=h.2gb3jie" w:colFirst="0" w:colLast="0"/>
      <w:bookmarkEnd w:id="168"/>
    </w:p>
    <w:p w:rsidR="005F4C24" w:rsidRDefault="004C2B0D">
      <w:pPr>
        <w:keepNext/>
        <w:numPr>
          <w:ilvl w:val="0"/>
          <w:numId w:val="19"/>
        </w:numPr>
        <w:pBdr>
          <w:top w:val="nil"/>
          <w:left w:val="nil"/>
          <w:bottom w:val="nil"/>
          <w:right w:val="nil"/>
          <w:between w:val="nil"/>
        </w:pBdr>
        <w:spacing w:before="360"/>
      </w:pPr>
      <w:bookmarkStart w:id="169" w:name="_heading=h.vgdtq7" w:colFirst="0" w:colLast="0"/>
      <w:bookmarkEnd w:id="169"/>
      <w:r>
        <w:rPr>
          <w:b/>
          <w:color w:val="000000"/>
          <w:sz w:val="24"/>
          <w:szCs w:val="24"/>
        </w:rPr>
        <w:t xml:space="preserve">Incident management process </w:t>
      </w:r>
    </w:p>
    <w:p w:rsidR="005F4C24" w:rsidRDefault="004C2B0D">
      <w:pPr>
        <w:numPr>
          <w:ilvl w:val="0"/>
          <w:numId w:val="37"/>
        </w:numPr>
        <w:pBdr>
          <w:top w:val="nil"/>
          <w:left w:val="nil"/>
          <w:bottom w:val="nil"/>
          <w:right w:val="nil"/>
          <w:between w:val="nil"/>
        </w:pBdr>
      </w:pPr>
      <w:r>
        <w:rPr>
          <w:color w:val="000000"/>
        </w:rPr>
        <w:t>[</w:t>
      </w:r>
      <w:r>
        <w:rPr>
          <w:i/>
          <w:color w:val="000000"/>
        </w:rPr>
        <w:t>The suppliers’ process, as agreed with the Authority/Customer, should be included here. It must as a minimum include the protocol for how and when incidents will be reported to the Authority/customer and the process that will be undertaken to mitigate the incidents and investigate the root cause</w:t>
      </w:r>
      <w:r>
        <w:rPr>
          <w:color w:val="000000"/>
        </w:rPr>
        <w:t>.]</w:t>
      </w:r>
    </w:p>
    <w:p w:rsidR="005F4C24" w:rsidRDefault="004C2B0D">
      <w:pPr>
        <w:keepNext/>
        <w:numPr>
          <w:ilvl w:val="0"/>
          <w:numId w:val="19"/>
        </w:numPr>
        <w:pBdr>
          <w:top w:val="nil"/>
          <w:left w:val="nil"/>
          <w:bottom w:val="nil"/>
          <w:right w:val="nil"/>
          <w:between w:val="nil"/>
        </w:pBdr>
        <w:spacing w:before="360"/>
      </w:pPr>
      <w:bookmarkStart w:id="170" w:name="_heading=h.3fg1ce0" w:colFirst="0" w:colLast="0"/>
      <w:bookmarkEnd w:id="170"/>
      <w:r>
        <w:rPr>
          <w:b/>
          <w:color w:val="000000"/>
          <w:sz w:val="24"/>
          <w:szCs w:val="24"/>
        </w:rPr>
        <w:t>Required changes register</w:t>
      </w:r>
    </w:p>
    <w:p w:rsidR="005F4C24" w:rsidRDefault="004C2B0D">
      <w:pPr>
        <w:keepNext/>
        <w:numPr>
          <w:ilvl w:val="0"/>
          <w:numId w:val="37"/>
        </w:numPr>
        <w:pBdr>
          <w:top w:val="nil"/>
          <w:left w:val="nil"/>
          <w:bottom w:val="nil"/>
          <w:right w:val="nil"/>
          <w:between w:val="nil"/>
        </w:pBdr>
      </w:pPr>
      <w:r>
        <w:rPr>
          <w:color w:val="000000"/>
        </w:rPr>
        <w:t>[</w:t>
      </w:r>
      <w:r>
        <w:rPr>
          <w:i/>
          <w:color w:val="000000"/>
        </w:rPr>
        <w:t>The table below shows the headings for the Required Changes Register which should be maintained and used to update the contents of this document at least annually</w:t>
      </w:r>
      <w:r>
        <w:rPr>
          <w:color w:val="000000"/>
        </w:rPr>
        <w:t>.]</w:t>
      </w:r>
    </w:p>
    <w:tbl>
      <w:tblPr>
        <w:tblStyle w:val="aff2"/>
        <w:tblW w:w="828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0"/>
        <w:gridCol w:w="990"/>
        <w:gridCol w:w="1980"/>
        <w:gridCol w:w="990"/>
        <w:gridCol w:w="1170"/>
        <w:gridCol w:w="1530"/>
        <w:gridCol w:w="810"/>
      </w:tblGrid>
      <w:tr w:rsidR="005F4C24">
        <w:trPr>
          <w:cantSplit/>
          <w:trHeight w:val="493"/>
        </w:trPr>
        <w:tc>
          <w:tcPr>
            <w:tcW w:w="810" w:type="dxa"/>
            <w:shd w:val="clear" w:color="auto" w:fill="E7E6E6"/>
          </w:tcPr>
          <w:p w:rsidR="005F4C24" w:rsidRDefault="004C2B0D">
            <w:pPr>
              <w:keepNext/>
              <w:spacing w:before="120" w:after="120"/>
              <w:rPr>
                <w:sz w:val="18"/>
                <w:szCs w:val="18"/>
              </w:rPr>
            </w:pPr>
            <w:r>
              <w:rPr>
                <w:sz w:val="18"/>
                <w:szCs w:val="18"/>
              </w:rPr>
              <w:t>Ref</w:t>
            </w:r>
          </w:p>
        </w:tc>
        <w:tc>
          <w:tcPr>
            <w:tcW w:w="990" w:type="dxa"/>
            <w:shd w:val="clear" w:color="auto" w:fill="E7E6E6"/>
          </w:tcPr>
          <w:p w:rsidR="005F4C24" w:rsidRDefault="004C2B0D">
            <w:pPr>
              <w:keepNext/>
              <w:spacing w:before="120" w:after="120"/>
              <w:rPr>
                <w:sz w:val="18"/>
                <w:szCs w:val="18"/>
              </w:rPr>
            </w:pPr>
            <w:r>
              <w:rPr>
                <w:sz w:val="18"/>
                <w:szCs w:val="18"/>
              </w:rPr>
              <w:t>Section</w:t>
            </w:r>
          </w:p>
        </w:tc>
        <w:tc>
          <w:tcPr>
            <w:tcW w:w="1980" w:type="dxa"/>
            <w:shd w:val="clear" w:color="auto" w:fill="E7E6E6"/>
          </w:tcPr>
          <w:p w:rsidR="005F4C24" w:rsidRDefault="004C2B0D">
            <w:pPr>
              <w:keepNext/>
              <w:spacing w:before="120" w:after="120"/>
              <w:rPr>
                <w:sz w:val="18"/>
                <w:szCs w:val="18"/>
              </w:rPr>
            </w:pPr>
            <w:r>
              <w:rPr>
                <w:sz w:val="18"/>
                <w:szCs w:val="18"/>
              </w:rPr>
              <w:t>Change</w:t>
            </w:r>
          </w:p>
        </w:tc>
        <w:tc>
          <w:tcPr>
            <w:tcW w:w="990" w:type="dxa"/>
            <w:shd w:val="clear" w:color="auto" w:fill="E7E6E6"/>
          </w:tcPr>
          <w:p w:rsidR="005F4C24" w:rsidRDefault="004C2B0D">
            <w:pPr>
              <w:keepNext/>
              <w:spacing w:before="120" w:after="120"/>
              <w:rPr>
                <w:sz w:val="18"/>
                <w:szCs w:val="18"/>
              </w:rPr>
            </w:pPr>
            <w:r>
              <w:rPr>
                <w:sz w:val="18"/>
                <w:szCs w:val="18"/>
              </w:rPr>
              <w:t>Agreed With</w:t>
            </w:r>
          </w:p>
        </w:tc>
        <w:tc>
          <w:tcPr>
            <w:tcW w:w="1170" w:type="dxa"/>
            <w:shd w:val="clear" w:color="auto" w:fill="E7E6E6"/>
          </w:tcPr>
          <w:p w:rsidR="005F4C24" w:rsidRDefault="004C2B0D">
            <w:pPr>
              <w:keepNext/>
              <w:spacing w:before="120" w:after="120"/>
              <w:rPr>
                <w:sz w:val="18"/>
                <w:szCs w:val="18"/>
              </w:rPr>
            </w:pPr>
            <w:r>
              <w:rPr>
                <w:sz w:val="18"/>
                <w:szCs w:val="18"/>
              </w:rPr>
              <w:t>Date agreed</w:t>
            </w:r>
          </w:p>
        </w:tc>
        <w:tc>
          <w:tcPr>
            <w:tcW w:w="1530" w:type="dxa"/>
            <w:shd w:val="clear" w:color="auto" w:fill="E7E6E6"/>
          </w:tcPr>
          <w:p w:rsidR="005F4C24" w:rsidRDefault="004C2B0D">
            <w:pPr>
              <w:keepNext/>
              <w:spacing w:before="120" w:after="120"/>
              <w:rPr>
                <w:sz w:val="18"/>
                <w:szCs w:val="18"/>
              </w:rPr>
            </w:pPr>
            <w:r>
              <w:rPr>
                <w:sz w:val="18"/>
                <w:szCs w:val="18"/>
              </w:rPr>
              <w:t>Documentation update</w:t>
            </w:r>
          </w:p>
        </w:tc>
        <w:tc>
          <w:tcPr>
            <w:tcW w:w="810" w:type="dxa"/>
            <w:shd w:val="clear" w:color="auto" w:fill="E7E6E6"/>
          </w:tcPr>
          <w:p w:rsidR="005F4C24" w:rsidRDefault="004C2B0D">
            <w:pPr>
              <w:keepNext/>
              <w:spacing w:before="120" w:after="120"/>
              <w:rPr>
                <w:sz w:val="18"/>
                <w:szCs w:val="18"/>
              </w:rPr>
            </w:pPr>
            <w:r>
              <w:rPr>
                <w:sz w:val="18"/>
                <w:szCs w:val="18"/>
              </w:rPr>
              <w:t>Status</w:t>
            </w:r>
          </w:p>
        </w:tc>
      </w:tr>
      <w:tr w:rsidR="005F4C24">
        <w:trPr>
          <w:cantSplit/>
          <w:trHeight w:val="580"/>
        </w:trPr>
        <w:tc>
          <w:tcPr>
            <w:tcW w:w="810" w:type="dxa"/>
          </w:tcPr>
          <w:p w:rsidR="005F4C24" w:rsidRDefault="004C2B0D">
            <w:pPr>
              <w:spacing w:before="120" w:after="120"/>
              <w:rPr>
                <w:sz w:val="18"/>
                <w:szCs w:val="18"/>
              </w:rPr>
            </w:pPr>
            <w:r>
              <w:rPr>
                <w:sz w:val="18"/>
                <w:szCs w:val="18"/>
              </w:rPr>
              <w:t>1</w:t>
            </w:r>
          </w:p>
        </w:tc>
        <w:tc>
          <w:tcPr>
            <w:tcW w:w="990" w:type="dxa"/>
          </w:tcPr>
          <w:p w:rsidR="005F4C24" w:rsidRDefault="004C2B0D">
            <w:pPr>
              <w:spacing w:before="120" w:after="120"/>
              <w:rPr>
                <w:sz w:val="18"/>
                <w:szCs w:val="18"/>
              </w:rPr>
            </w:pPr>
            <w:r>
              <w:rPr>
                <w:sz w:val="18"/>
                <w:szCs w:val="18"/>
              </w:rPr>
              <w:t>6.4</w:t>
            </w:r>
          </w:p>
        </w:tc>
        <w:tc>
          <w:tcPr>
            <w:tcW w:w="1980" w:type="dxa"/>
          </w:tcPr>
          <w:p w:rsidR="005F4C24" w:rsidRDefault="004C2B0D">
            <w:pPr>
              <w:spacing w:before="120" w:after="120"/>
              <w:rPr>
                <w:sz w:val="18"/>
                <w:szCs w:val="18"/>
              </w:rPr>
            </w:pPr>
            <w:r>
              <w:rPr>
                <w:sz w:val="18"/>
                <w:szCs w:val="18"/>
              </w:rPr>
              <w:t xml:space="preserve">A new </w:t>
            </w:r>
            <w:proofErr w:type="gramStart"/>
            <w:r>
              <w:rPr>
                <w:sz w:val="18"/>
                <w:szCs w:val="18"/>
              </w:rPr>
              <w:t>Third Party</w:t>
            </w:r>
            <w:proofErr w:type="gramEnd"/>
            <w:r>
              <w:rPr>
                <w:sz w:val="18"/>
                <w:szCs w:val="18"/>
              </w:rPr>
              <w:t xml:space="preserve"> supplier XXXX will be performing the print capability.</w:t>
            </w:r>
          </w:p>
        </w:tc>
        <w:tc>
          <w:tcPr>
            <w:tcW w:w="990" w:type="dxa"/>
          </w:tcPr>
          <w:p w:rsidR="005F4C24" w:rsidRDefault="004C2B0D">
            <w:pPr>
              <w:spacing w:before="120" w:after="120"/>
              <w:rPr>
                <w:sz w:val="18"/>
                <w:szCs w:val="18"/>
              </w:rPr>
            </w:pPr>
            <w:r>
              <w:rPr>
                <w:sz w:val="18"/>
                <w:szCs w:val="18"/>
              </w:rPr>
              <w:t>Authority name</w:t>
            </w:r>
          </w:p>
        </w:tc>
        <w:tc>
          <w:tcPr>
            <w:tcW w:w="1170" w:type="dxa"/>
          </w:tcPr>
          <w:p w:rsidR="005F4C24" w:rsidRDefault="004C2B0D">
            <w:pPr>
              <w:spacing w:before="120" w:after="120"/>
              <w:rPr>
                <w:sz w:val="18"/>
                <w:szCs w:val="18"/>
              </w:rPr>
            </w:pPr>
            <w:r>
              <w:rPr>
                <w:sz w:val="18"/>
                <w:szCs w:val="18"/>
              </w:rPr>
              <w:t>11/11/2021</w:t>
            </w:r>
          </w:p>
        </w:tc>
        <w:tc>
          <w:tcPr>
            <w:tcW w:w="1530" w:type="dxa"/>
          </w:tcPr>
          <w:p w:rsidR="005F4C24" w:rsidRDefault="004C2B0D">
            <w:pPr>
              <w:keepNext/>
              <w:spacing w:before="120" w:after="120"/>
              <w:rPr>
                <w:sz w:val="18"/>
                <w:szCs w:val="18"/>
              </w:rPr>
            </w:pPr>
            <w:r>
              <w:rPr>
                <w:sz w:val="18"/>
                <w:szCs w:val="18"/>
              </w:rPr>
              <w:t>Jul-2022</w:t>
            </w:r>
          </w:p>
        </w:tc>
        <w:tc>
          <w:tcPr>
            <w:tcW w:w="810" w:type="dxa"/>
          </w:tcPr>
          <w:p w:rsidR="005F4C24" w:rsidRDefault="004C2B0D">
            <w:pPr>
              <w:spacing w:before="120" w:after="120"/>
              <w:rPr>
                <w:sz w:val="18"/>
                <w:szCs w:val="18"/>
              </w:rPr>
            </w:pPr>
            <w:r>
              <w:rPr>
                <w:sz w:val="18"/>
                <w:szCs w:val="18"/>
              </w:rPr>
              <w:t>Open</w:t>
            </w:r>
          </w:p>
        </w:tc>
      </w:tr>
    </w:tbl>
    <w:p w:rsidR="005F4C24" w:rsidRDefault="005F4C24">
      <w:pPr>
        <w:pBdr>
          <w:top w:val="nil"/>
          <w:left w:val="nil"/>
          <w:bottom w:val="nil"/>
          <w:right w:val="nil"/>
          <w:between w:val="nil"/>
        </w:pBdr>
        <w:ind w:left="720"/>
        <w:rPr>
          <w:color w:val="000000"/>
        </w:rPr>
        <w:sectPr w:rsidR="005F4C24">
          <w:headerReference w:type="default" r:id="rId37"/>
          <w:footerReference w:type="default" r:id="rId38"/>
          <w:pgSz w:w="11906" w:h="16838"/>
          <w:pgMar w:top="1440" w:right="1440" w:bottom="1797" w:left="1440" w:header="720" w:footer="720" w:gutter="0"/>
          <w:pgNumType w:start="1"/>
          <w:cols w:space="720"/>
        </w:sectPr>
      </w:pPr>
    </w:p>
    <w:p w:rsidR="005F4C24" w:rsidRDefault="004C2B0D">
      <w:pPr>
        <w:keepNext/>
        <w:numPr>
          <w:ilvl w:val="0"/>
          <w:numId w:val="33"/>
        </w:numPr>
        <w:pBdr>
          <w:top w:val="nil"/>
          <w:left w:val="nil"/>
          <w:bottom w:val="nil"/>
          <w:right w:val="nil"/>
          <w:between w:val="nil"/>
        </w:pBdr>
      </w:pPr>
      <w:bookmarkStart w:id="171" w:name="bookmark=id.1ulbmlt" w:colFirst="0" w:colLast="0"/>
      <w:bookmarkStart w:id="172" w:name="_heading=h.4ekz59m" w:colFirst="0" w:colLast="0"/>
      <w:bookmarkEnd w:id="171"/>
      <w:bookmarkEnd w:id="172"/>
      <w:r>
        <w:rPr>
          <w:color w:val="000000"/>
          <w:sz w:val="28"/>
          <w:szCs w:val="28"/>
        </w:rPr>
        <w:lastRenderedPageBreak/>
        <w:t>ISO27001 and/or cyber essential plus certificates</w:t>
      </w:r>
    </w:p>
    <w:p w:rsidR="005F4C24" w:rsidRDefault="004C2B0D">
      <w:pPr>
        <w:pBdr>
          <w:top w:val="nil"/>
          <w:left w:val="nil"/>
          <w:bottom w:val="nil"/>
          <w:right w:val="nil"/>
          <w:between w:val="nil"/>
        </w:pBdr>
        <w:rPr>
          <w:color w:val="000000"/>
        </w:rPr>
        <w:sectPr w:rsidR="005F4C24">
          <w:headerReference w:type="even" r:id="rId39"/>
          <w:footerReference w:type="even" r:id="rId40"/>
          <w:footerReference w:type="default" r:id="rId41"/>
          <w:headerReference w:type="first" r:id="rId42"/>
          <w:footerReference w:type="first" r:id="rId43"/>
          <w:pgSz w:w="11906" w:h="16838"/>
          <w:pgMar w:top="1440" w:right="1440" w:bottom="1797" w:left="1440" w:header="720" w:footer="720" w:gutter="0"/>
          <w:pgNumType w:start="1"/>
          <w:cols w:space="720"/>
        </w:sectPr>
      </w:pPr>
      <w:r>
        <w:rPr>
          <w:color w:val="000000"/>
        </w:rPr>
        <w:t>[</w:t>
      </w:r>
      <w:r>
        <w:rPr>
          <w:i/>
          <w:color w:val="000000"/>
        </w:rPr>
        <w:t>Please include copies of the certificates here</w:t>
      </w:r>
      <w:r>
        <w:rPr>
          <w:color w:val="000000"/>
        </w:rPr>
        <w:t>]</w:t>
      </w:r>
    </w:p>
    <w:p w:rsidR="005F4C24" w:rsidRDefault="004C2B0D">
      <w:pPr>
        <w:keepNext/>
        <w:numPr>
          <w:ilvl w:val="0"/>
          <w:numId w:val="33"/>
        </w:numPr>
        <w:pBdr>
          <w:top w:val="nil"/>
          <w:left w:val="nil"/>
          <w:bottom w:val="nil"/>
          <w:right w:val="nil"/>
          <w:between w:val="nil"/>
        </w:pBdr>
      </w:pPr>
      <w:bookmarkStart w:id="173" w:name="_heading=h.2tq9fhf" w:colFirst="0" w:colLast="0"/>
      <w:bookmarkEnd w:id="173"/>
      <w:r>
        <w:rPr>
          <w:color w:val="000000"/>
          <w:sz w:val="28"/>
          <w:szCs w:val="28"/>
        </w:rPr>
        <w:lastRenderedPageBreak/>
        <w:t xml:space="preserve">Cloud security principles assessment </w:t>
      </w:r>
    </w:p>
    <w:p w:rsidR="005F4C24" w:rsidRDefault="004C2B0D">
      <w:pPr>
        <w:pBdr>
          <w:top w:val="nil"/>
          <w:left w:val="nil"/>
          <w:bottom w:val="nil"/>
          <w:right w:val="nil"/>
          <w:between w:val="nil"/>
        </w:pBdr>
        <w:rPr>
          <w:color w:val="000000"/>
        </w:rPr>
      </w:pPr>
      <w:r>
        <w:rPr>
          <w:color w:val="000000"/>
        </w:rPr>
        <w:t>[</w:t>
      </w:r>
      <w:r>
        <w:rPr>
          <w:i/>
          <w:color w:val="000000"/>
        </w:rPr>
        <w:t>Please add your controls in the attached table.</w:t>
      </w:r>
      <w:r>
        <w:rPr>
          <w:color w:val="000000"/>
        </w:rPr>
        <w:t>]</w:t>
      </w:r>
    </w:p>
    <w:tbl>
      <w:tblPr>
        <w:tblStyle w:val="aff3"/>
        <w:tblW w:w="9636" w:type="dxa"/>
        <w:tblBorders>
          <w:top w:val="nil"/>
          <w:left w:val="nil"/>
          <w:bottom w:val="nil"/>
          <w:right w:val="nil"/>
          <w:insideH w:val="nil"/>
          <w:insideV w:val="nil"/>
        </w:tblBorders>
        <w:tblLayout w:type="fixed"/>
        <w:tblLook w:val="0600" w:firstRow="0" w:lastRow="0" w:firstColumn="0" w:lastColumn="0" w:noHBand="1" w:noVBand="1"/>
      </w:tblPr>
      <w:tblGrid>
        <w:gridCol w:w="2544"/>
        <w:gridCol w:w="2814"/>
        <w:gridCol w:w="4278"/>
      </w:tblGrid>
      <w:tr w:rsidR="005F4C24">
        <w:trPr>
          <w:tblHeader/>
        </w:trPr>
        <w:tc>
          <w:tcPr>
            <w:tcW w:w="2544"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5F4C24" w:rsidRDefault="004C2B0D">
            <w:pPr>
              <w:spacing w:before="120" w:after="120"/>
            </w:pPr>
            <w:r>
              <w:t>Principle</w:t>
            </w:r>
          </w:p>
        </w:tc>
        <w:tc>
          <w:tcPr>
            <w:tcW w:w="2814"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5F4C24" w:rsidRDefault="004C2B0D">
            <w:pPr>
              <w:spacing w:before="120" w:after="120"/>
            </w:pPr>
            <w:r>
              <w:t>Goals of the Principle</w:t>
            </w:r>
          </w:p>
        </w:tc>
        <w:tc>
          <w:tcPr>
            <w:tcW w:w="4278"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5F4C24" w:rsidRDefault="004C2B0D">
            <w:pPr>
              <w:spacing w:before="120" w:after="120"/>
            </w:pPr>
            <w:r>
              <w:t>Controls</w:t>
            </w:r>
          </w:p>
        </w:tc>
      </w:tr>
      <w:tr w:rsidR="005F4C24">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F4C24" w:rsidRDefault="004C2B0D">
            <w:pPr>
              <w:spacing w:before="120" w:after="120"/>
            </w:pPr>
            <w:r>
              <w:t>Principle 1 – Data in transit protection</w:t>
            </w:r>
          </w:p>
          <w:p w:rsidR="005F4C24" w:rsidRDefault="004C2B0D">
            <w:pPr>
              <w:keepNext/>
              <w:spacing w:before="120" w:after="120"/>
            </w:pPr>
            <w:r>
              <w:t>"User data transiting networks should be adequately protected against tampering and eavesdropping."</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rsidR="005F4C24" w:rsidRDefault="004C2B0D">
            <w:pPr>
              <w:numPr>
                <w:ilvl w:val="0"/>
                <w:numId w:val="20"/>
              </w:numPr>
              <w:pBdr>
                <w:top w:val="nil"/>
                <w:left w:val="nil"/>
                <w:bottom w:val="nil"/>
                <w:right w:val="nil"/>
                <w:between w:val="nil"/>
              </w:pBdr>
              <w:tabs>
                <w:tab w:val="left" w:pos="288"/>
              </w:tabs>
              <w:spacing w:before="120" w:after="120"/>
              <w:ind w:left="288" w:hanging="288"/>
            </w:pPr>
            <w:r>
              <w:rPr>
                <w:color w:val="000000"/>
              </w:rPr>
              <w:t>Data in transit is protected between end user device(s) and the service</w:t>
            </w:r>
          </w:p>
          <w:p w:rsidR="005F4C24" w:rsidRDefault="004C2B0D">
            <w:pPr>
              <w:numPr>
                <w:ilvl w:val="0"/>
                <w:numId w:val="1"/>
              </w:numPr>
              <w:pBdr>
                <w:top w:val="nil"/>
                <w:left w:val="nil"/>
                <w:bottom w:val="nil"/>
                <w:right w:val="nil"/>
                <w:between w:val="nil"/>
              </w:pBdr>
            </w:pPr>
            <w:r>
              <w:rPr>
                <w:color w:val="000000"/>
              </w:rPr>
              <w:t>Data in transit is protected internally within the service</w:t>
            </w:r>
          </w:p>
          <w:p w:rsidR="005F4C24" w:rsidRDefault="004C2B0D">
            <w:pPr>
              <w:numPr>
                <w:ilvl w:val="0"/>
                <w:numId w:val="20"/>
              </w:numPr>
              <w:pBdr>
                <w:top w:val="nil"/>
                <w:left w:val="nil"/>
                <w:bottom w:val="nil"/>
                <w:right w:val="nil"/>
                <w:between w:val="nil"/>
              </w:pBdr>
              <w:tabs>
                <w:tab w:val="left" w:pos="288"/>
              </w:tabs>
              <w:spacing w:before="120" w:after="120"/>
              <w:ind w:left="288" w:hanging="288"/>
            </w:pPr>
            <w:r>
              <w:rPr>
                <w:color w:val="000000"/>
              </w:rPr>
              <w:t>Data in transit is protected between the service and other services (</w:t>
            </w:r>
            <w:proofErr w:type="spellStart"/>
            <w:r>
              <w:rPr>
                <w:color w:val="000000"/>
              </w:rPr>
              <w:t>eg</w:t>
            </w:r>
            <w:proofErr w:type="spellEnd"/>
            <w:r>
              <w:rPr>
                <w:color w:val="000000"/>
              </w:rPr>
              <w:t xml:space="preserve"> where APIs are exposed)</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rsidR="005F4C24" w:rsidRDefault="004C2B0D">
            <w:pPr>
              <w:spacing w:before="120" w:after="120"/>
            </w:pPr>
            <w:r>
              <w:t xml:space="preserve"> </w:t>
            </w:r>
          </w:p>
        </w:tc>
      </w:tr>
      <w:tr w:rsidR="005F4C24">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F4C24" w:rsidRDefault="004C2B0D">
            <w:pPr>
              <w:spacing w:before="120" w:after="120"/>
            </w:pPr>
            <w:r>
              <w:t>Principle 2 – Asset protection and resilience</w:t>
            </w:r>
          </w:p>
          <w:p w:rsidR="005F4C24" w:rsidRDefault="004C2B0D">
            <w:pPr>
              <w:keepNext/>
              <w:spacing w:before="120" w:after="120"/>
            </w:pPr>
            <w:r>
              <w:t>"User data, and the assets storing or processing it, should be protected against physical tampering, loss, damage or seizure."</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rsidR="005F4C24" w:rsidRDefault="004C2B0D">
            <w:pPr>
              <w:keepNext/>
              <w:spacing w:before="120" w:after="120"/>
            </w:pPr>
            <w:r>
              <w:t>Cloud service consumers should seek to understand:</w:t>
            </w:r>
          </w:p>
          <w:p w:rsidR="005F4C24" w:rsidRDefault="004C2B0D">
            <w:pPr>
              <w:numPr>
                <w:ilvl w:val="0"/>
                <w:numId w:val="20"/>
              </w:numPr>
              <w:pBdr>
                <w:top w:val="nil"/>
                <w:left w:val="nil"/>
                <w:bottom w:val="nil"/>
                <w:right w:val="nil"/>
                <w:between w:val="nil"/>
              </w:pBdr>
              <w:tabs>
                <w:tab w:val="left" w:pos="288"/>
              </w:tabs>
              <w:spacing w:before="120" w:after="120"/>
              <w:ind w:left="288" w:hanging="288"/>
            </w:pPr>
            <w:r>
              <w:rPr>
                <w:color w:val="000000"/>
              </w:rPr>
              <w:t xml:space="preserve">In which countries their data will be stored, processed and managed. They should also consider how this affects compliance with relevant legislation </w:t>
            </w:r>
            <w:proofErr w:type="spellStart"/>
            <w:r>
              <w:rPr>
                <w:color w:val="000000"/>
              </w:rPr>
              <w:t>eg</w:t>
            </w:r>
            <w:proofErr w:type="spellEnd"/>
            <w:r>
              <w:rPr>
                <w:color w:val="000000"/>
              </w:rPr>
              <w:t xml:space="preserve"> Data Protection Act (DPA), GDPR etc.</w:t>
            </w:r>
          </w:p>
          <w:p w:rsidR="005F4C24" w:rsidRDefault="004C2B0D">
            <w:pPr>
              <w:numPr>
                <w:ilvl w:val="0"/>
                <w:numId w:val="1"/>
              </w:numPr>
              <w:pBdr>
                <w:top w:val="nil"/>
                <w:left w:val="nil"/>
                <w:bottom w:val="nil"/>
                <w:right w:val="nil"/>
                <w:between w:val="nil"/>
              </w:pBdr>
            </w:pPr>
            <w:r>
              <w:rPr>
                <w:color w:val="000000"/>
              </w:rPr>
              <w:t>Whether the legal jurisdiction(s) within which the service provider operates are acceptable to them</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rsidR="005F4C24" w:rsidRDefault="004C2B0D">
            <w:pPr>
              <w:spacing w:before="120" w:after="120"/>
            </w:pPr>
            <w:r>
              <w:t xml:space="preserve"> </w:t>
            </w:r>
          </w:p>
        </w:tc>
      </w:tr>
      <w:tr w:rsidR="005F4C24">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F4C24" w:rsidRDefault="004C2B0D">
            <w:pPr>
              <w:spacing w:before="120" w:after="120"/>
            </w:pPr>
            <w:r>
              <w:t>Principle 3 – Separation between users</w:t>
            </w:r>
          </w:p>
          <w:p w:rsidR="005F4C24" w:rsidRDefault="004C2B0D">
            <w:pPr>
              <w:keepNext/>
              <w:spacing w:before="120" w:after="120"/>
            </w:pPr>
            <w:r>
              <w:t>"A malicious or compromised user of the service should not be able to affect the service or data of another."</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rsidR="005F4C24" w:rsidRDefault="004C2B0D">
            <w:pPr>
              <w:keepNext/>
              <w:spacing w:before="120" w:after="120"/>
            </w:pPr>
            <w:r>
              <w:t>Cloud service consumers should seek to:</w:t>
            </w:r>
          </w:p>
          <w:p w:rsidR="005F4C24" w:rsidRDefault="004C2B0D">
            <w:pPr>
              <w:numPr>
                <w:ilvl w:val="0"/>
                <w:numId w:val="20"/>
              </w:numPr>
              <w:pBdr>
                <w:top w:val="nil"/>
                <w:left w:val="nil"/>
                <w:bottom w:val="nil"/>
                <w:right w:val="nil"/>
                <w:between w:val="nil"/>
              </w:pBdr>
              <w:tabs>
                <w:tab w:val="left" w:pos="288"/>
              </w:tabs>
              <w:spacing w:before="120" w:after="120"/>
              <w:ind w:left="288" w:hanging="288"/>
            </w:pPr>
            <w:r>
              <w:rPr>
                <w:color w:val="000000"/>
              </w:rPr>
              <w:t>Understand the types of user they share the service or platform with</w:t>
            </w:r>
          </w:p>
          <w:p w:rsidR="005F4C24" w:rsidRDefault="004C2B0D">
            <w:pPr>
              <w:numPr>
                <w:ilvl w:val="0"/>
                <w:numId w:val="1"/>
              </w:numPr>
              <w:pBdr>
                <w:top w:val="nil"/>
                <w:left w:val="nil"/>
                <w:bottom w:val="nil"/>
                <w:right w:val="nil"/>
                <w:between w:val="nil"/>
              </w:pBdr>
            </w:pPr>
            <w:r>
              <w:rPr>
                <w:color w:val="000000"/>
              </w:rPr>
              <w:t>Have confidence that the service provides sufficient separation of their data and service from other users of the service</w:t>
            </w:r>
          </w:p>
          <w:p w:rsidR="005F4C24" w:rsidRDefault="004C2B0D">
            <w:pPr>
              <w:numPr>
                <w:ilvl w:val="0"/>
                <w:numId w:val="20"/>
              </w:numPr>
              <w:pBdr>
                <w:top w:val="nil"/>
                <w:left w:val="nil"/>
                <w:bottom w:val="nil"/>
                <w:right w:val="nil"/>
                <w:between w:val="nil"/>
              </w:pBdr>
              <w:tabs>
                <w:tab w:val="left" w:pos="288"/>
              </w:tabs>
              <w:spacing w:before="120" w:after="120"/>
              <w:ind w:left="288" w:hanging="288"/>
            </w:pPr>
            <w:r>
              <w:rPr>
                <w:color w:val="000000"/>
              </w:rPr>
              <w:t xml:space="preserve">Have confidence that management of their service is kept separate from other users (covered </w:t>
            </w:r>
            <w:r>
              <w:rPr>
                <w:color w:val="000000"/>
              </w:rPr>
              <w:lastRenderedPageBreak/>
              <w:t>separately as part of Principle 9)</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rsidR="005F4C24" w:rsidRDefault="004C2B0D">
            <w:pPr>
              <w:spacing w:before="120" w:after="120"/>
            </w:pPr>
            <w:r>
              <w:lastRenderedPageBreak/>
              <w:t xml:space="preserve"> </w:t>
            </w:r>
          </w:p>
        </w:tc>
      </w:tr>
      <w:tr w:rsidR="005F4C24">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F4C24" w:rsidRDefault="004C2B0D">
            <w:pPr>
              <w:spacing w:before="120" w:after="120"/>
            </w:pPr>
            <w:r>
              <w:t>Principle 4 – Governance framework</w:t>
            </w:r>
          </w:p>
          <w:p w:rsidR="005F4C24" w:rsidRDefault="004C2B0D">
            <w:pPr>
              <w:keepNext/>
              <w:spacing w:before="120" w:after="120"/>
            </w:pPr>
            <w:r>
              <w:t>"The service provider should have a security governance framework which coordinates and directs its management of the service and information within it. Any technical controls deployed outside of this framework will be fundamentally undermined."</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rsidR="005F4C24" w:rsidRDefault="004C2B0D">
            <w:pPr>
              <w:keepNext/>
              <w:spacing w:before="120" w:after="120"/>
            </w:pPr>
            <w:r>
              <w:t>Cloud service consumers should ensure that:</w:t>
            </w:r>
          </w:p>
          <w:p w:rsidR="005F4C24" w:rsidRDefault="004C2B0D">
            <w:pPr>
              <w:numPr>
                <w:ilvl w:val="0"/>
                <w:numId w:val="20"/>
              </w:numPr>
              <w:pBdr>
                <w:top w:val="nil"/>
                <w:left w:val="nil"/>
                <w:bottom w:val="nil"/>
                <w:right w:val="nil"/>
                <w:between w:val="nil"/>
              </w:pBdr>
              <w:tabs>
                <w:tab w:val="left" w:pos="288"/>
              </w:tabs>
              <w:spacing w:before="120" w:after="120"/>
              <w:ind w:left="288" w:hanging="288"/>
            </w:pPr>
            <w:r>
              <w:rPr>
                <w:color w:val="000000"/>
              </w:rPr>
              <w:t>A clearly identified, and named, board representative (or a person with the direct delegated authority) is responsible for the security of the cloud service. This is typically someone with the title ‘Chief Security Officer’, ‘Chief Information Officer’ or ‘Chief Technical Officer’</w:t>
            </w:r>
          </w:p>
          <w:p w:rsidR="005F4C24" w:rsidRDefault="004C2B0D">
            <w:pPr>
              <w:numPr>
                <w:ilvl w:val="0"/>
                <w:numId w:val="1"/>
              </w:numPr>
              <w:pBdr>
                <w:top w:val="nil"/>
                <w:left w:val="nil"/>
                <w:bottom w:val="nil"/>
                <w:right w:val="nil"/>
                <w:between w:val="nil"/>
              </w:pBdr>
            </w:pPr>
            <w:r>
              <w:rPr>
                <w:color w:val="000000"/>
              </w:rPr>
              <w:t>A documented framework exists for security governance, with policies governing key aspects of information security relevant to the service</w:t>
            </w:r>
          </w:p>
          <w:p w:rsidR="005F4C24" w:rsidRDefault="004C2B0D">
            <w:pPr>
              <w:numPr>
                <w:ilvl w:val="0"/>
                <w:numId w:val="20"/>
              </w:numPr>
              <w:pBdr>
                <w:top w:val="nil"/>
                <w:left w:val="nil"/>
                <w:bottom w:val="nil"/>
                <w:right w:val="nil"/>
                <w:between w:val="nil"/>
              </w:pBdr>
              <w:tabs>
                <w:tab w:val="left" w:pos="288"/>
              </w:tabs>
              <w:spacing w:before="120" w:after="120"/>
              <w:ind w:left="288" w:hanging="288"/>
            </w:pPr>
            <w:r>
              <w:rPr>
                <w:color w:val="000000"/>
              </w:rPr>
              <w:t>Security and information security are part of the service provider’s financial and operational risk reporting mechanisms, ensuring that the board would be kept informed of security and information risk</w:t>
            </w:r>
          </w:p>
          <w:p w:rsidR="005F4C24" w:rsidRDefault="004C2B0D">
            <w:pPr>
              <w:numPr>
                <w:ilvl w:val="0"/>
                <w:numId w:val="1"/>
              </w:numPr>
              <w:pBdr>
                <w:top w:val="nil"/>
                <w:left w:val="nil"/>
                <w:bottom w:val="nil"/>
                <w:right w:val="nil"/>
                <w:between w:val="nil"/>
              </w:pBdr>
            </w:pPr>
            <w:r>
              <w:rPr>
                <w:color w:val="000000"/>
              </w:rPr>
              <w:t>Processes to identify and ensure compliance with applicable legal and regulatory requirements have been established</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rsidR="005F4C24" w:rsidRDefault="004C2B0D">
            <w:pPr>
              <w:keepNext/>
              <w:spacing w:before="120" w:after="120"/>
            </w:pPr>
            <w:r>
              <w:t xml:space="preserve"> </w:t>
            </w:r>
          </w:p>
        </w:tc>
      </w:tr>
      <w:tr w:rsidR="005F4C24">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F4C24" w:rsidRDefault="004C2B0D">
            <w:pPr>
              <w:spacing w:before="120" w:after="120"/>
            </w:pPr>
            <w:r>
              <w:t>Principle 5 – Operational security</w:t>
            </w:r>
          </w:p>
          <w:p w:rsidR="005F4C24" w:rsidRDefault="004C2B0D">
            <w:pPr>
              <w:keepNext/>
              <w:spacing w:before="120" w:after="120"/>
            </w:pPr>
            <w:r>
              <w:t xml:space="preserve">"The service needs to be operated and managed securely in order to impede, detect or prevent attacks. Good operational security </w:t>
            </w:r>
            <w:r>
              <w:lastRenderedPageBreak/>
              <w:t>should not require complex, bureaucratic, time consuming or expensive processes."</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rsidR="005F4C24" w:rsidRDefault="004C2B0D">
            <w:pPr>
              <w:keepNext/>
              <w:spacing w:before="120" w:after="120"/>
            </w:pPr>
            <w:r>
              <w:lastRenderedPageBreak/>
              <w:t>Cloud service consumers should be confident that:</w:t>
            </w:r>
          </w:p>
          <w:p w:rsidR="005F4C24" w:rsidRDefault="004C2B0D">
            <w:pPr>
              <w:numPr>
                <w:ilvl w:val="0"/>
                <w:numId w:val="20"/>
              </w:numPr>
              <w:pBdr>
                <w:top w:val="nil"/>
                <w:left w:val="nil"/>
                <w:bottom w:val="nil"/>
                <w:right w:val="nil"/>
                <w:between w:val="nil"/>
              </w:pBdr>
              <w:tabs>
                <w:tab w:val="left" w:pos="288"/>
              </w:tabs>
              <w:spacing w:before="120" w:after="120"/>
              <w:ind w:left="288" w:hanging="288"/>
            </w:pPr>
            <w:r>
              <w:rPr>
                <w:color w:val="000000"/>
              </w:rPr>
              <w:t xml:space="preserve">The status, location and configuration of service components (both hardware and software) are </w:t>
            </w:r>
            <w:r>
              <w:rPr>
                <w:color w:val="000000"/>
              </w:rPr>
              <w:lastRenderedPageBreak/>
              <w:t>tracked throughout their lifetime</w:t>
            </w:r>
          </w:p>
          <w:p w:rsidR="005F4C24" w:rsidRDefault="004C2B0D">
            <w:pPr>
              <w:numPr>
                <w:ilvl w:val="0"/>
                <w:numId w:val="1"/>
              </w:numPr>
              <w:pBdr>
                <w:top w:val="nil"/>
                <w:left w:val="nil"/>
                <w:bottom w:val="nil"/>
                <w:right w:val="nil"/>
                <w:between w:val="nil"/>
              </w:pBdr>
            </w:pPr>
            <w:r>
              <w:rPr>
                <w:color w:val="000000"/>
              </w:rPr>
              <w:t>Changes to the service are assessed for potential security impact. Then managed and tracked through to completion</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rsidR="005F4C24" w:rsidRDefault="004C2B0D">
            <w:pPr>
              <w:spacing w:before="120" w:after="120"/>
            </w:pPr>
            <w:r>
              <w:lastRenderedPageBreak/>
              <w:t xml:space="preserve"> </w:t>
            </w:r>
          </w:p>
        </w:tc>
      </w:tr>
      <w:tr w:rsidR="005F4C24">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F4C24" w:rsidRDefault="004C2B0D">
            <w:pPr>
              <w:spacing w:before="120" w:after="120"/>
            </w:pPr>
            <w:r>
              <w:t>Principle 6 – Personnel security</w:t>
            </w:r>
          </w:p>
          <w:p w:rsidR="005F4C24" w:rsidRDefault="004C2B0D">
            <w:pPr>
              <w:keepNext/>
              <w:spacing w:before="120" w:after="120"/>
            </w:pPr>
            <w:r>
              <w:t>"Where service provider personnel have access to your data and systems you need a high degree of confidence in their trustworthiness. Thorough screening, supported by adequate training, reduces the likelihood of accidental or malicious compromise by service provider personnel."</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rsidR="005F4C24" w:rsidRDefault="004C2B0D">
            <w:pPr>
              <w:keepNext/>
              <w:spacing w:before="120" w:after="120"/>
            </w:pPr>
            <w:r>
              <w:t>Cloud service consumers should be confident that:</w:t>
            </w:r>
          </w:p>
          <w:p w:rsidR="005F4C24" w:rsidRDefault="004C2B0D">
            <w:pPr>
              <w:numPr>
                <w:ilvl w:val="0"/>
                <w:numId w:val="20"/>
              </w:numPr>
              <w:pBdr>
                <w:top w:val="nil"/>
                <w:left w:val="nil"/>
                <w:bottom w:val="nil"/>
                <w:right w:val="nil"/>
                <w:between w:val="nil"/>
              </w:pBdr>
              <w:tabs>
                <w:tab w:val="left" w:pos="288"/>
              </w:tabs>
              <w:spacing w:before="120" w:after="120"/>
              <w:ind w:left="288" w:hanging="288"/>
            </w:pPr>
            <w:r>
              <w:rPr>
                <w:color w:val="000000"/>
              </w:rPr>
              <w:t>The level of security screening conducted on service provider staff with access to the consumers information, or with ability to affect the service, is appropriate</w:t>
            </w:r>
          </w:p>
          <w:p w:rsidR="005F4C24" w:rsidRDefault="004C2B0D">
            <w:pPr>
              <w:numPr>
                <w:ilvl w:val="0"/>
                <w:numId w:val="1"/>
              </w:numPr>
              <w:pBdr>
                <w:top w:val="nil"/>
                <w:left w:val="nil"/>
                <w:bottom w:val="nil"/>
                <w:right w:val="nil"/>
                <w:between w:val="nil"/>
              </w:pBdr>
            </w:pPr>
            <w:r>
              <w:rPr>
                <w:color w:val="000000"/>
              </w:rPr>
              <w:t xml:space="preserve">The minimum number of people </w:t>
            </w:r>
            <w:proofErr w:type="gramStart"/>
            <w:r>
              <w:rPr>
                <w:color w:val="000000"/>
              </w:rPr>
              <w:t>necessary</w:t>
            </w:r>
            <w:proofErr w:type="gramEnd"/>
            <w:r>
              <w:rPr>
                <w:color w:val="000000"/>
              </w:rPr>
              <w:t xml:space="preserve"> have access to the consumers information or could affect the service</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rsidR="005F4C24" w:rsidRDefault="004C2B0D">
            <w:pPr>
              <w:spacing w:before="120" w:after="120"/>
            </w:pPr>
            <w:r>
              <w:t xml:space="preserve"> </w:t>
            </w:r>
          </w:p>
        </w:tc>
      </w:tr>
      <w:tr w:rsidR="005F4C24">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F4C24" w:rsidRDefault="004C2B0D">
            <w:pPr>
              <w:spacing w:before="120" w:after="120"/>
            </w:pPr>
            <w:r>
              <w:t>Principle 7 – Secure development</w:t>
            </w:r>
          </w:p>
          <w:p w:rsidR="005F4C24" w:rsidRDefault="004C2B0D">
            <w:pPr>
              <w:keepNext/>
              <w:spacing w:before="120" w:after="120"/>
            </w:pPr>
            <w:r>
              <w:t>"Services should be designed and developed to identify and mitigate threats to their security.</w:t>
            </w:r>
          </w:p>
          <w:p w:rsidR="005F4C24" w:rsidRDefault="004C2B0D">
            <w:pPr>
              <w:keepNext/>
              <w:spacing w:before="120" w:after="120"/>
            </w:pPr>
            <w:r>
              <w:t>Those which aren’t may be vulnerable to security issues which could compromise your data, cause loss of service or enable other malicious activity."</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rsidR="005F4C24" w:rsidRDefault="004C2B0D">
            <w:pPr>
              <w:keepNext/>
              <w:spacing w:before="120" w:after="120"/>
            </w:pPr>
            <w:r>
              <w:t>Cloud service consumers should be confident that:</w:t>
            </w:r>
          </w:p>
          <w:p w:rsidR="005F4C24" w:rsidRDefault="004C2B0D">
            <w:pPr>
              <w:numPr>
                <w:ilvl w:val="0"/>
                <w:numId w:val="20"/>
              </w:numPr>
              <w:pBdr>
                <w:top w:val="nil"/>
                <w:left w:val="nil"/>
                <w:bottom w:val="nil"/>
                <w:right w:val="nil"/>
                <w:between w:val="nil"/>
              </w:pBdr>
              <w:tabs>
                <w:tab w:val="left" w:pos="288"/>
              </w:tabs>
              <w:spacing w:before="120" w:after="120"/>
              <w:ind w:left="288" w:hanging="288"/>
            </w:pPr>
            <w:r>
              <w:rPr>
                <w:color w:val="000000"/>
              </w:rPr>
              <w:t>New and evolving threats are reviewed, and the service improved in line with them</w:t>
            </w:r>
          </w:p>
          <w:p w:rsidR="005F4C24" w:rsidRDefault="004C2B0D">
            <w:pPr>
              <w:numPr>
                <w:ilvl w:val="0"/>
                <w:numId w:val="1"/>
              </w:numPr>
              <w:pBdr>
                <w:top w:val="nil"/>
                <w:left w:val="nil"/>
                <w:bottom w:val="nil"/>
                <w:right w:val="nil"/>
                <w:between w:val="nil"/>
              </w:pBdr>
            </w:pPr>
            <w:r>
              <w:rPr>
                <w:color w:val="000000"/>
              </w:rPr>
              <w:t>Development is carried out in line with industry good practice regarding secure design, coding, testing and deployment</w:t>
            </w:r>
          </w:p>
          <w:p w:rsidR="005F4C24" w:rsidRDefault="004C2B0D">
            <w:pPr>
              <w:numPr>
                <w:ilvl w:val="0"/>
                <w:numId w:val="20"/>
              </w:numPr>
              <w:pBdr>
                <w:top w:val="nil"/>
                <w:left w:val="nil"/>
                <w:bottom w:val="nil"/>
                <w:right w:val="nil"/>
                <w:between w:val="nil"/>
              </w:pBdr>
              <w:tabs>
                <w:tab w:val="left" w:pos="288"/>
              </w:tabs>
              <w:spacing w:before="120" w:after="120"/>
              <w:ind w:left="288" w:hanging="288"/>
            </w:pPr>
            <w:r>
              <w:rPr>
                <w:color w:val="000000"/>
              </w:rPr>
              <w:t>Configuration management processes are in place to ensure the integrity of the solution through development, testing and deployment</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rsidR="005F4C24" w:rsidRDefault="004C2B0D">
            <w:pPr>
              <w:spacing w:before="120" w:after="120"/>
            </w:pPr>
            <w:r>
              <w:t xml:space="preserve"> </w:t>
            </w:r>
          </w:p>
        </w:tc>
      </w:tr>
      <w:tr w:rsidR="005F4C24">
        <w:tc>
          <w:tcPr>
            <w:tcW w:w="2544" w:type="dxa"/>
            <w:tcBorders>
              <w:top w:val="nil"/>
              <w:left w:val="single" w:sz="8" w:space="0" w:color="000000"/>
              <w:bottom w:val="single" w:sz="4" w:space="0" w:color="000000"/>
              <w:right w:val="single" w:sz="8" w:space="0" w:color="000000"/>
            </w:tcBorders>
            <w:tcMar>
              <w:top w:w="100" w:type="dxa"/>
              <w:left w:w="100" w:type="dxa"/>
              <w:bottom w:w="100" w:type="dxa"/>
              <w:right w:w="100" w:type="dxa"/>
            </w:tcMar>
          </w:tcPr>
          <w:p w:rsidR="005F4C24" w:rsidRDefault="004C2B0D">
            <w:pPr>
              <w:spacing w:before="120" w:after="120"/>
            </w:pPr>
            <w:r>
              <w:lastRenderedPageBreak/>
              <w:t>Principle 8 – Supply chain security</w:t>
            </w:r>
          </w:p>
          <w:p w:rsidR="005F4C24" w:rsidRDefault="004C2B0D">
            <w:pPr>
              <w:keepNext/>
              <w:spacing w:before="120" w:after="120"/>
            </w:pPr>
            <w:r>
              <w:t>"The service provider should ensure that its supply chain satisfactorily supports all of the security principles which the service claims to implement."</w:t>
            </w:r>
          </w:p>
        </w:tc>
        <w:tc>
          <w:tcPr>
            <w:tcW w:w="2814" w:type="dxa"/>
            <w:tcBorders>
              <w:top w:val="nil"/>
              <w:left w:val="nil"/>
              <w:bottom w:val="single" w:sz="4" w:space="0" w:color="000000"/>
              <w:right w:val="single" w:sz="8" w:space="0" w:color="000000"/>
            </w:tcBorders>
            <w:tcMar>
              <w:top w:w="100" w:type="dxa"/>
              <w:left w:w="100" w:type="dxa"/>
              <w:bottom w:w="100" w:type="dxa"/>
              <w:right w:w="100" w:type="dxa"/>
            </w:tcMar>
          </w:tcPr>
          <w:p w:rsidR="005F4C24" w:rsidRDefault="004C2B0D">
            <w:pPr>
              <w:keepNext/>
              <w:spacing w:before="120" w:after="120"/>
            </w:pPr>
            <w:r>
              <w:t>Cloud service consumers should seek to understand and accept:</w:t>
            </w:r>
          </w:p>
          <w:p w:rsidR="005F4C24" w:rsidRDefault="004C2B0D">
            <w:pPr>
              <w:numPr>
                <w:ilvl w:val="0"/>
                <w:numId w:val="20"/>
              </w:numPr>
              <w:pBdr>
                <w:top w:val="nil"/>
                <w:left w:val="nil"/>
                <w:bottom w:val="nil"/>
                <w:right w:val="nil"/>
                <w:between w:val="nil"/>
              </w:pBdr>
              <w:tabs>
                <w:tab w:val="left" w:pos="288"/>
              </w:tabs>
              <w:spacing w:before="120" w:after="120"/>
              <w:ind w:left="288" w:hanging="288"/>
            </w:pPr>
            <w:r>
              <w:rPr>
                <w:color w:val="000000"/>
              </w:rPr>
              <w:t>How their information is shared with, or accessible to, third party suppliers and their supply chains</w:t>
            </w:r>
          </w:p>
          <w:p w:rsidR="005F4C24" w:rsidRDefault="004C2B0D">
            <w:pPr>
              <w:numPr>
                <w:ilvl w:val="0"/>
                <w:numId w:val="1"/>
              </w:numPr>
              <w:pBdr>
                <w:top w:val="nil"/>
                <w:left w:val="nil"/>
                <w:bottom w:val="nil"/>
                <w:right w:val="nil"/>
                <w:between w:val="nil"/>
              </w:pBdr>
            </w:pPr>
            <w:r>
              <w:rPr>
                <w:color w:val="000000"/>
              </w:rPr>
              <w:t>How the service provider’s procurement processes place security requirements on third party suppliers</w:t>
            </w:r>
          </w:p>
          <w:p w:rsidR="005F4C24" w:rsidRDefault="004C2B0D">
            <w:pPr>
              <w:numPr>
                <w:ilvl w:val="0"/>
                <w:numId w:val="20"/>
              </w:numPr>
              <w:pBdr>
                <w:top w:val="nil"/>
                <w:left w:val="nil"/>
                <w:bottom w:val="nil"/>
                <w:right w:val="nil"/>
                <w:between w:val="nil"/>
              </w:pBdr>
              <w:tabs>
                <w:tab w:val="left" w:pos="288"/>
              </w:tabs>
              <w:spacing w:before="120" w:after="120"/>
              <w:ind w:left="288" w:hanging="288"/>
            </w:pPr>
            <w:r>
              <w:rPr>
                <w:color w:val="000000"/>
              </w:rPr>
              <w:t>How the service provider manages security risks from third party suppliers</w:t>
            </w:r>
          </w:p>
          <w:p w:rsidR="005F4C24" w:rsidRDefault="004C2B0D">
            <w:pPr>
              <w:numPr>
                <w:ilvl w:val="0"/>
                <w:numId w:val="1"/>
              </w:numPr>
              <w:pBdr>
                <w:top w:val="nil"/>
                <w:left w:val="nil"/>
                <w:bottom w:val="nil"/>
                <w:right w:val="nil"/>
                <w:between w:val="nil"/>
              </w:pBdr>
            </w:pPr>
            <w:r>
              <w:rPr>
                <w:color w:val="000000"/>
              </w:rPr>
              <w:t>How the service provider manages the conformance of their suppliers with security requirements</w:t>
            </w:r>
          </w:p>
          <w:p w:rsidR="005F4C24" w:rsidRDefault="004C2B0D">
            <w:pPr>
              <w:numPr>
                <w:ilvl w:val="0"/>
                <w:numId w:val="20"/>
              </w:numPr>
              <w:pBdr>
                <w:top w:val="nil"/>
                <w:left w:val="nil"/>
                <w:bottom w:val="nil"/>
                <w:right w:val="nil"/>
                <w:between w:val="nil"/>
              </w:pBdr>
              <w:tabs>
                <w:tab w:val="left" w:pos="288"/>
              </w:tabs>
              <w:spacing w:before="120" w:after="120"/>
              <w:ind w:left="288" w:hanging="288"/>
            </w:pPr>
            <w:r>
              <w:rPr>
                <w:color w:val="000000"/>
              </w:rPr>
              <w:t>How the service provider verifies that hardware and software used in the service is genuine and has not been tampered with</w:t>
            </w:r>
          </w:p>
        </w:tc>
        <w:tc>
          <w:tcPr>
            <w:tcW w:w="4278" w:type="dxa"/>
            <w:tcBorders>
              <w:top w:val="nil"/>
              <w:left w:val="nil"/>
              <w:bottom w:val="single" w:sz="4" w:space="0" w:color="000000"/>
              <w:right w:val="single" w:sz="8" w:space="0" w:color="000000"/>
            </w:tcBorders>
            <w:tcMar>
              <w:top w:w="100" w:type="dxa"/>
              <w:left w:w="100" w:type="dxa"/>
              <w:bottom w:w="100" w:type="dxa"/>
              <w:right w:w="100" w:type="dxa"/>
            </w:tcMar>
          </w:tcPr>
          <w:p w:rsidR="005F4C24" w:rsidRDefault="004C2B0D">
            <w:pPr>
              <w:spacing w:before="120" w:after="120"/>
            </w:pPr>
            <w:r>
              <w:t xml:space="preserve"> </w:t>
            </w:r>
          </w:p>
        </w:tc>
      </w:tr>
      <w:tr w:rsidR="005F4C24">
        <w:tc>
          <w:tcPr>
            <w:tcW w:w="2544" w:type="dxa"/>
            <w:tcBorders>
              <w:top w:val="single" w:sz="4"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F4C24" w:rsidRDefault="004C2B0D">
            <w:pPr>
              <w:spacing w:before="120" w:after="120"/>
            </w:pPr>
            <w:r>
              <w:t>Principle 9 – Secure user management</w:t>
            </w:r>
          </w:p>
          <w:p w:rsidR="005F4C24" w:rsidRDefault="004C2B0D">
            <w:pPr>
              <w:keepNext/>
              <w:spacing w:before="120" w:after="120"/>
            </w:pPr>
            <w:r>
              <w:t>"Your provider should make the tools available for you to securely manage your use of their service. Management interfaces and procedures are a vital part of the security barrier, preventing unauthorised access and alteration of your resources, applications and data."</w:t>
            </w:r>
          </w:p>
        </w:tc>
        <w:tc>
          <w:tcPr>
            <w:tcW w:w="2814" w:type="dxa"/>
            <w:tcBorders>
              <w:top w:val="single" w:sz="4" w:space="0" w:color="000000"/>
              <w:left w:val="nil"/>
              <w:bottom w:val="single" w:sz="8" w:space="0" w:color="000000"/>
              <w:right w:val="single" w:sz="8" w:space="0" w:color="000000"/>
            </w:tcBorders>
            <w:tcMar>
              <w:top w:w="100" w:type="dxa"/>
              <w:left w:w="100" w:type="dxa"/>
              <w:bottom w:w="100" w:type="dxa"/>
              <w:right w:w="100" w:type="dxa"/>
            </w:tcMar>
          </w:tcPr>
          <w:p w:rsidR="005F4C24" w:rsidRDefault="004C2B0D">
            <w:pPr>
              <w:keepNext/>
              <w:spacing w:before="120" w:after="120"/>
            </w:pPr>
            <w:r>
              <w:t>Cloud service consumers should:</w:t>
            </w:r>
          </w:p>
          <w:p w:rsidR="005F4C24" w:rsidRDefault="004C2B0D">
            <w:pPr>
              <w:numPr>
                <w:ilvl w:val="0"/>
                <w:numId w:val="20"/>
              </w:numPr>
              <w:pBdr>
                <w:top w:val="nil"/>
                <w:left w:val="nil"/>
                <w:bottom w:val="nil"/>
                <w:right w:val="nil"/>
                <w:between w:val="nil"/>
              </w:pBdr>
              <w:tabs>
                <w:tab w:val="left" w:pos="288"/>
              </w:tabs>
              <w:spacing w:before="120" w:after="120"/>
              <w:ind w:left="288" w:hanging="288"/>
            </w:pPr>
            <w:r>
              <w:rPr>
                <w:color w:val="000000"/>
              </w:rPr>
              <w:t>Be aware of all of the mechanisms by which the service provider would accept management or support requests from you (telephone, web portal, email etc.)</w:t>
            </w:r>
          </w:p>
          <w:p w:rsidR="005F4C24" w:rsidRDefault="004C2B0D">
            <w:pPr>
              <w:numPr>
                <w:ilvl w:val="0"/>
                <w:numId w:val="1"/>
              </w:numPr>
              <w:pBdr>
                <w:top w:val="nil"/>
                <w:left w:val="nil"/>
                <w:bottom w:val="nil"/>
                <w:right w:val="nil"/>
                <w:between w:val="nil"/>
              </w:pBdr>
            </w:pPr>
            <w:r>
              <w:rPr>
                <w:color w:val="000000"/>
              </w:rPr>
              <w:t xml:space="preserve">Ensure that only authorised individuals from their organisation can use those mechanisms to affect their use of the service (Principle 10 can help consumers consider the strength of user identification </w:t>
            </w:r>
            <w:r>
              <w:rPr>
                <w:color w:val="000000"/>
              </w:rPr>
              <w:lastRenderedPageBreak/>
              <w:t>and authentication in each of these mechanisms)</w:t>
            </w:r>
          </w:p>
        </w:tc>
        <w:tc>
          <w:tcPr>
            <w:tcW w:w="4278" w:type="dxa"/>
            <w:tcBorders>
              <w:top w:val="single" w:sz="4" w:space="0" w:color="000000"/>
              <w:left w:val="nil"/>
              <w:bottom w:val="single" w:sz="8" w:space="0" w:color="000000"/>
              <w:right w:val="single" w:sz="8" w:space="0" w:color="000000"/>
            </w:tcBorders>
            <w:tcMar>
              <w:top w:w="100" w:type="dxa"/>
              <w:left w:w="100" w:type="dxa"/>
              <w:bottom w:w="100" w:type="dxa"/>
              <w:right w:w="100" w:type="dxa"/>
            </w:tcMar>
          </w:tcPr>
          <w:p w:rsidR="005F4C24" w:rsidRDefault="004C2B0D">
            <w:pPr>
              <w:spacing w:before="120" w:after="120"/>
            </w:pPr>
            <w:r>
              <w:lastRenderedPageBreak/>
              <w:t xml:space="preserve"> </w:t>
            </w:r>
          </w:p>
        </w:tc>
      </w:tr>
      <w:tr w:rsidR="005F4C24">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F4C24" w:rsidRDefault="004C2B0D">
            <w:pPr>
              <w:spacing w:before="120" w:after="120"/>
            </w:pPr>
            <w:r>
              <w:t>Principle 10 – Identity and authentication</w:t>
            </w:r>
          </w:p>
          <w:p w:rsidR="005F4C24" w:rsidRDefault="004C2B0D">
            <w:pPr>
              <w:keepNext/>
              <w:spacing w:before="120" w:after="120"/>
            </w:pPr>
            <w:r>
              <w:t>"All access to service interfaces should be constrained to authenticated and authorised individuals."</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rsidR="005F4C24" w:rsidRDefault="004C2B0D">
            <w:pPr>
              <w:keepNext/>
              <w:spacing w:before="120" w:after="120"/>
            </w:pPr>
            <w:r>
              <w:t>Cloud service consumers should:</w:t>
            </w:r>
          </w:p>
          <w:p w:rsidR="005F4C24" w:rsidRDefault="004C2B0D">
            <w:pPr>
              <w:numPr>
                <w:ilvl w:val="0"/>
                <w:numId w:val="20"/>
              </w:numPr>
              <w:pBdr>
                <w:top w:val="nil"/>
                <w:left w:val="nil"/>
                <w:bottom w:val="nil"/>
                <w:right w:val="nil"/>
                <w:between w:val="nil"/>
              </w:pBdr>
              <w:tabs>
                <w:tab w:val="left" w:pos="288"/>
              </w:tabs>
              <w:spacing w:before="120" w:after="120"/>
              <w:ind w:left="288" w:hanging="288"/>
            </w:pPr>
            <w:r>
              <w:rPr>
                <w:color w:val="000000"/>
              </w:rPr>
              <w:t>Have confidence that identity and authentication controls ensure users are authorised to access specific interfaces</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rsidR="005F4C24" w:rsidRDefault="004C2B0D">
            <w:pPr>
              <w:spacing w:before="120" w:after="120"/>
            </w:pPr>
            <w:r>
              <w:t xml:space="preserve"> </w:t>
            </w:r>
          </w:p>
        </w:tc>
      </w:tr>
      <w:tr w:rsidR="005F4C24">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F4C24" w:rsidRDefault="004C2B0D">
            <w:pPr>
              <w:spacing w:before="120" w:after="120"/>
            </w:pPr>
            <w:r>
              <w:t>Principle 11 – External interface protection</w:t>
            </w:r>
          </w:p>
          <w:p w:rsidR="005F4C24" w:rsidRDefault="004C2B0D">
            <w:pPr>
              <w:keepNext/>
              <w:spacing w:before="120" w:after="120"/>
            </w:pPr>
            <w:r>
              <w:t>"All external or less trusted interfaces of the service should be identified and appropriately defended."</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rsidR="005F4C24" w:rsidRDefault="004C2B0D">
            <w:pPr>
              <w:keepNext/>
              <w:spacing w:before="120" w:after="120"/>
            </w:pPr>
            <w:r>
              <w:t>Cloud service consumers should:</w:t>
            </w:r>
          </w:p>
          <w:p w:rsidR="005F4C24" w:rsidRDefault="004C2B0D">
            <w:pPr>
              <w:numPr>
                <w:ilvl w:val="0"/>
                <w:numId w:val="20"/>
              </w:numPr>
              <w:pBdr>
                <w:top w:val="nil"/>
                <w:left w:val="nil"/>
                <w:bottom w:val="nil"/>
                <w:right w:val="nil"/>
                <w:between w:val="nil"/>
              </w:pBdr>
              <w:tabs>
                <w:tab w:val="left" w:pos="288"/>
              </w:tabs>
              <w:spacing w:before="120" w:after="120"/>
              <w:ind w:left="288" w:hanging="288"/>
            </w:pPr>
            <w:r>
              <w:rPr>
                <w:color w:val="000000"/>
              </w:rPr>
              <w:t>Understand what physical and logical interfaces their information is available from, and how access to their data is controlled</w:t>
            </w:r>
          </w:p>
          <w:p w:rsidR="005F4C24" w:rsidRDefault="004C2B0D">
            <w:pPr>
              <w:numPr>
                <w:ilvl w:val="0"/>
                <w:numId w:val="1"/>
              </w:numPr>
              <w:pBdr>
                <w:top w:val="nil"/>
                <w:left w:val="nil"/>
                <w:bottom w:val="nil"/>
                <w:right w:val="nil"/>
                <w:between w:val="nil"/>
              </w:pBdr>
            </w:pPr>
            <w:r>
              <w:rPr>
                <w:color w:val="000000"/>
              </w:rPr>
              <w:t>Have sufficient confidence that the service identifies and authenticates users to an appropriate level over those interfaces (see Principle 10)</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rsidR="005F4C24" w:rsidRDefault="004C2B0D">
            <w:pPr>
              <w:spacing w:before="120" w:after="120"/>
            </w:pPr>
            <w:r>
              <w:t xml:space="preserve"> </w:t>
            </w:r>
          </w:p>
        </w:tc>
      </w:tr>
      <w:tr w:rsidR="005F4C24">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F4C24" w:rsidRDefault="004C2B0D">
            <w:pPr>
              <w:spacing w:before="120" w:after="120"/>
            </w:pPr>
            <w:r>
              <w:t>Principle 12 – Secure service administration</w:t>
            </w:r>
          </w:p>
          <w:p w:rsidR="005F4C24" w:rsidRDefault="004C2B0D">
            <w:pPr>
              <w:keepNext/>
              <w:spacing w:before="120" w:after="120"/>
            </w:pPr>
            <w:r>
              <w:t>"Systems used for administration of a cloud service will have highly privileged access to that service. Their compromise would have significant impact, including the means to bypass security controls and steal or manipulate large volumes of data."</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rsidR="005F4C24" w:rsidRDefault="004C2B0D">
            <w:pPr>
              <w:keepNext/>
              <w:spacing w:before="120" w:after="120"/>
            </w:pPr>
            <w:r>
              <w:t>Cloud service consumers should:</w:t>
            </w:r>
          </w:p>
          <w:p w:rsidR="005F4C24" w:rsidRDefault="004C2B0D">
            <w:pPr>
              <w:numPr>
                <w:ilvl w:val="0"/>
                <w:numId w:val="20"/>
              </w:numPr>
              <w:pBdr>
                <w:top w:val="nil"/>
                <w:left w:val="nil"/>
                <w:bottom w:val="nil"/>
                <w:right w:val="nil"/>
                <w:between w:val="nil"/>
              </w:pBdr>
              <w:tabs>
                <w:tab w:val="left" w:pos="288"/>
              </w:tabs>
              <w:spacing w:before="120" w:after="120"/>
              <w:ind w:left="288" w:hanging="288"/>
            </w:pPr>
            <w:r>
              <w:rPr>
                <w:color w:val="000000"/>
              </w:rPr>
              <w:t>Understand which service administration model is being used by the service provider to manage the service</w:t>
            </w:r>
          </w:p>
          <w:p w:rsidR="005F4C24" w:rsidRDefault="004C2B0D">
            <w:pPr>
              <w:numPr>
                <w:ilvl w:val="0"/>
                <w:numId w:val="1"/>
              </w:numPr>
              <w:pBdr>
                <w:top w:val="nil"/>
                <w:left w:val="nil"/>
                <w:bottom w:val="nil"/>
                <w:right w:val="nil"/>
                <w:between w:val="nil"/>
              </w:pBdr>
            </w:pPr>
            <w:r>
              <w:rPr>
                <w:color w:val="000000"/>
              </w:rPr>
              <w:t>Be content with any risks the service administration model in use brings to the consumers data or use of the service</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rsidR="005F4C24" w:rsidRDefault="004C2B0D">
            <w:pPr>
              <w:keepNext/>
              <w:spacing w:before="120" w:after="120"/>
            </w:pPr>
            <w:r>
              <w:t xml:space="preserve"> </w:t>
            </w:r>
          </w:p>
        </w:tc>
      </w:tr>
      <w:tr w:rsidR="005F4C24">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F4C24" w:rsidRDefault="004C2B0D">
            <w:pPr>
              <w:spacing w:before="120" w:after="120"/>
            </w:pPr>
            <w:r>
              <w:t>Principle 13 – Audit information for users</w:t>
            </w:r>
          </w:p>
          <w:p w:rsidR="005F4C24" w:rsidRDefault="004C2B0D">
            <w:pPr>
              <w:keepNext/>
              <w:spacing w:before="120" w:after="120"/>
            </w:pPr>
            <w:r>
              <w:t xml:space="preserve">"You should be provided with the audit records needed to monitor access to your service and the data </w:t>
            </w:r>
            <w:r>
              <w:lastRenderedPageBreak/>
              <w:t>held within it. The type of audit information available to you will have a direct impact on your ability to detect and respond to inappropriate or malicious activity within reasonable timescales."</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rsidR="005F4C24" w:rsidRDefault="004C2B0D">
            <w:pPr>
              <w:keepNext/>
              <w:spacing w:before="120" w:after="120"/>
            </w:pPr>
            <w:r>
              <w:lastRenderedPageBreak/>
              <w:t>Cloud service consumers should:</w:t>
            </w:r>
          </w:p>
          <w:p w:rsidR="005F4C24" w:rsidRDefault="004C2B0D">
            <w:pPr>
              <w:numPr>
                <w:ilvl w:val="0"/>
                <w:numId w:val="20"/>
              </w:numPr>
              <w:pBdr>
                <w:top w:val="nil"/>
                <w:left w:val="nil"/>
                <w:bottom w:val="nil"/>
                <w:right w:val="nil"/>
                <w:between w:val="nil"/>
              </w:pBdr>
              <w:tabs>
                <w:tab w:val="left" w:pos="288"/>
              </w:tabs>
              <w:spacing w:before="120" w:after="120"/>
              <w:ind w:left="288" w:hanging="288"/>
            </w:pPr>
            <w:r>
              <w:rPr>
                <w:color w:val="000000"/>
              </w:rPr>
              <w:t xml:space="preserve">Be aware of the audit information that will be provided, how and when it will be made available, the </w:t>
            </w:r>
            <w:r>
              <w:rPr>
                <w:color w:val="000000"/>
              </w:rPr>
              <w:lastRenderedPageBreak/>
              <w:t>format of the data, and the retention period associated with it</w:t>
            </w:r>
          </w:p>
          <w:p w:rsidR="005F4C24" w:rsidRDefault="004C2B0D">
            <w:pPr>
              <w:numPr>
                <w:ilvl w:val="0"/>
                <w:numId w:val="1"/>
              </w:numPr>
              <w:pBdr>
                <w:top w:val="nil"/>
                <w:left w:val="nil"/>
                <w:bottom w:val="nil"/>
                <w:right w:val="nil"/>
                <w:between w:val="nil"/>
              </w:pBdr>
            </w:pPr>
            <w:r>
              <w:rPr>
                <w:color w:val="000000"/>
              </w:rPr>
              <w:t>Be confident that the audit information available will meet their needs for investigating misuse or incidents</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rsidR="005F4C24" w:rsidRDefault="004C2B0D">
            <w:pPr>
              <w:spacing w:before="120" w:after="120"/>
            </w:pPr>
            <w:r>
              <w:lastRenderedPageBreak/>
              <w:t xml:space="preserve"> </w:t>
            </w:r>
          </w:p>
        </w:tc>
      </w:tr>
      <w:tr w:rsidR="005F4C24">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F4C24" w:rsidRDefault="004C2B0D">
            <w:pPr>
              <w:spacing w:before="120" w:after="120"/>
            </w:pPr>
            <w:r>
              <w:t>Principle 14 – Secure use of the service</w:t>
            </w:r>
          </w:p>
          <w:p w:rsidR="005F4C24" w:rsidRDefault="004C2B0D">
            <w:pPr>
              <w:keepNext/>
              <w:spacing w:before="120" w:after="120"/>
            </w:pPr>
            <w:r>
              <w:t>"The security of cloud services and the data held within them can be undermined if you use the service poorly. Consequently, you will have certain responsibilities when using the service in order for your data to be adequately protected."</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rsidR="005F4C24" w:rsidRDefault="004C2B0D">
            <w:pPr>
              <w:keepNext/>
              <w:spacing w:before="120" w:after="120"/>
            </w:pPr>
            <w:r>
              <w:t>Cloud service consumers should:</w:t>
            </w:r>
          </w:p>
          <w:p w:rsidR="005F4C24" w:rsidRDefault="004C2B0D">
            <w:pPr>
              <w:numPr>
                <w:ilvl w:val="0"/>
                <w:numId w:val="20"/>
              </w:numPr>
              <w:pBdr>
                <w:top w:val="nil"/>
                <w:left w:val="nil"/>
                <w:bottom w:val="nil"/>
                <w:right w:val="nil"/>
                <w:between w:val="nil"/>
              </w:pBdr>
              <w:tabs>
                <w:tab w:val="left" w:pos="288"/>
              </w:tabs>
              <w:spacing w:before="120" w:after="120"/>
              <w:ind w:left="288" w:hanging="288"/>
            </w:pPr>
            <w:r>
              <w:rPr>
                <w:color w:val="000000"/>
              </w:rPr>
              <w:t>Understand any service configuration options available to them and the security implications of their choices</w:t>
            </w:r>
          </w:p>
          <w:p w:rsidR="005F4C24" w:rsidRDefault="004C2B0D">
            <w:pPr>
              <w:numPr>
                <w:ilvl w:val="0"/>
                <w:numId w:val="1"/>
              </w:numPr>
              <w:pBdr>
                <w:top w:val="nil"/>
                <w:left w:val="nil"/>
                <w:bottom w:val="nil"/>
                <w:right w:val="nil"/>
                <w:between w:val="nil"/>
              </w:pBdr>
            </w:pPr>
            <w:r>
              <w:rPr>
                <w:color w:val="000000"/>
              </w:rPr>
              <w:t>Understand the security requirements of their use of the service</w:t>
            </w:r>
          </w:p>
          <w:p w:rsidR="005F4C24" w:rsidRDefault="004C2B0D">
            <w:pPr>
              <w:numPr>
                <w:ilvl w:val="0"/>
                <w:numId w:val="20"/>
              </w:numPr>
              <w:pBdr>
                <w:top w:val="nil"/>
                <w:left w:val="nil"/>
                <w:bottom w:val="nil"/>
                <w:right w:val="nil"/>
                <w:between w:val="nil"/>
              </w:pBdr>
              <w:tabs>
                <w:tab w:val="left" w:pos="288"/>
              </w:tabs>
              <w:spacing w:before="120" w:after="120"/>
              <w:ind w:left="288" w:hanging="288"/>
            </w:pPr>
            <w:r>
              <w:rPr>
                <w:color w:val="000000"/>
              </w:rPr>
              <w:t>Educate their staff using and managing the service in how to do so safely and securely</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rsidR="005F4C24" w:rsidRDefault="004C2B0D">
            <w:pPr>
              <w:spacing w:before="120" w:after="120"/>
            </w:pPr>
            <w:r>
              <w:t xml:space="preserve"> </w:t>
            </w:r>
          </w:p>
        </w:tc>
      </w:tr>
    </w:tbl>
    <w:p w:rsidR="005F4C24" w:rsidRDefault="005F4C24">
      <w:pPr>
        <w:pBdr>
          <w:top w:val="nil"/>
          <w:left w:val="nil"/>
          <w:bottom w:val="nil"/>
          <w:right w:val="nil"/>
          <w:between w:val="nil"/>
        </w:pBdr>
        <w:rPr>
          <w:color w:val="000000"/>
        </w:rPr>
        <w:sectPr w:rsidR="005F4C24">
          <w:headerReference w:type="even" r:id="rId44"/>
          <w:headerReference w:type="default" r:id="rId45"/>
          <w:footerReference w:type="even" r:id="rId46"/>
          <w:footerReference w:type="default" r:id="rId47"/>
          <w:headerReference w:type="first" r:id="rId48"/>
          <w:footerReference w:type="first" r:id="rId49"/>
          <w:pgSz w:w="11906" w:h="16838"/>
          <w:pgMar w:top="1440" w:right="1440" w:bottom="1797" w:left="1440" w:header="720" w:footer="720" w:gutter="0"/>
          <w:pgNumType w:start="1"/>
          <w:cols w:space="720"/>
        </w:sectPr>
      </w:pPr>
    </w:p>
    <w:p w:rsidR="005F4C24" w:rsidRDefault="004C2B0D">
      <w:pPr>
        <w:keepNext/>
        <w:numPr>
          <w:ilvl w:val="0"/>
          <w:numId w:val="33"/>
        </w:numPr>
        <w:pBdr>
          <w:top w:val="nil"/>
          <w:left w:val="nil"/>
          <w:bottom w:val="nil"/>
          <w:right w:val="nil"/>
          <w:between w:val="nil"/>
        </w:pBdr>
      </w:pPr>
      <w:bookmarkStart w:id="174" w:name="_heading=h.18vjpp8" w:colFirst="0" w:colLast="0"/>
      <w:bookmarkEnd w:id="174"/>
      <w:r>
        <w:rPr>
          <w:color w:val="000000"/>
          <w:sz w:val="28"/>
          <w:szCs w:val="28"/>
        </w:rPr>
        <w:lastRenderedPageBreak/>
        <w:t xml:space="preserve">Protecting bulk data assessment if required by the authority/customer </w:t>
      </w:r>
    </w:p>
    <w:p w:rsidR="005F4C24" w:rsidRDefault="004C2B0D">
      <w:pPr>
        <w:pBdr>
          <w:top w:val="nil"/>
          <w:left w:val="nil"/>
          <w:bottom w:val="nil"/>
          <w:right w:val="nil"/>
          <w:between w:val="nil"/>
        </w:pBdr>
        <w:rPr>
          <w:color w:val="000000"/>
        </w:rPr>
        <w:sectPr w:rsidR="005F4C24">
          <w:headerReference w:type="even" r:id="rId50"/>
          <w:headerReference w:type="default" r:id="rId51"/>
          <w:footerReference w:type="even" r:id="rId52"/>
          <w:headerReference w:type="first" r:id="rId53"/>
          <w:footerReference w:type="first" r:id="rId54"/>
          <w:pgSz w:w="11906" w:h="16838"/>
          <w:pgMar w:top="1440" w:right="1440" w:bottom="1797" w:left="1440" w:header="720" w:footer="720" w:gutter="0"/>
          <w:pgNumType w:start="1"/>
          <w:cols w:space="720"/>
        </w:sectPr>
      </w:pPr>
      <w:r>
        <w:rPr>
          <w:color w:val="000000"/>
        </w:rPr>
        <w:t>[</w:t>
      </w:r>
      <w:r>
        <w:rPr>
          <w:i/>
          <w:color w:val="000000"/>
        </w:rPr>
        <w:t>A spreadsheet may be attached</w:t>
      </w:r>
      <w:r>
        <w:rPr>
          <w:color w:val="000000"/>
        </w:rPr>
        <w:t>]</w:t>
      </w:r>
    </w:p>
    <w:p w:rsidR="005F4C24" w:rsidRDefault="004C2B0D">
      <w:pPr>
        <w:keepNext/>
        <w:numPr>
          <w:ilvl w:val="0"/>
          <w:numId w:val="33"/>
        </w:numPr>
        <w:pBdr>
          <w:top w:val="nil"/>
          <w:left w:val="nil"/>
          <w:bottom w:val="nil"/>
          <w:right w:val="nil"/>
          <w:between w:val="nil"/>
        </w:pBdr>
        <w:sectPr w:rsidR="005F4C24">
          <w:headerReference w:type="even" r:id="rId55"/>
          <w:headerReference w:type="default" r:id="rId56"/>
          <w:footerReference w:type="even" r:id="rId57"/>
          <w:headerReference w:type="first" r:id="rId58"/>
          <w:footerReference w:type="first" r:id="rId59"/>
          <w:pgSz w:w="11906" w:h="16838"/>
          <w:pgMar w:top="1440" w:right="1440" w:bottom="1797" w:left="1440" w:header="720" w:footer="720" w:gutter="0"/>
          <w:pgNumType w:start="1"/>
          <w:cols w:space="720"/>
        </w:sectPr>
      </w:pPr>
      <w:bookmarkStart w:id="175" w:name="_heading=h.3sv78d1" w:colFirst="0" w:colLast="0"/>
      <w:bookmarkEnd w:id="175"/>
      <w:r>
        <w:rPr>
          <w:color w:val="000000"/>
          <w:sz w:val="28"/>
          <w:szCs w:val="28"/>
        </w:rPr>
        <w:lastRenderedPageBreak/>
        <w:t>Latest ITHC report and vulnerability correction plan</w:t>
      </w:r>
    </w:p>
    <w:p w:rsidR="005F4C24" w:rsidRDefault="004C2B0D">
      <w:pPr>
        <w:keepNext/>
        <w:numPr>
          <w:ilvl w:val="0"/>
          <w:numId w:val="33"/>
        </w:numPr>
        <w:pBdr>
          <w:top w:val="nil"/>
          <w:left w:val="nil"/>
          <w:bottom w:val="nil"/>
          <w:right w:val="nil"/>
          <w:between w:val="nil"/>
        </w:pBdr>
      </w:pPr>
      <w:bookmarkStart w:id="176" w:name="_heading=h.280hiku" w:colFirst="0" w:colLast="0"/>
      <w:bookmarkEnd w:id="176"/>
      <w:r>
        <w:rPr>
          <w:color w:val="000000"/>
          <w:sz w:val="28"/>
          <w:szCs w:val="28"/>
        </w:rPr>
        <w:lastRenderedPageBreak/>
        <w:t>Statement of applicability</w:t>
      </w:r>
    </w:p>
    <w:p w:rsidR="005F4C24" w:rsidRDefault="004C2B0D">
      <w:pPr>
        <w:pBdr>
          <w:top w:val="nil"/>
          <w:left w:val="nil"/>
          <w:bottom w:val="nil"/>
          <w:right w:val="nil"/>
          <w:between w:val="nil"/>
        </w:pBdr>
        <w:rPr>
          <w:color w:val="000000"/>
        </w:rPr>
      </w:pPr>
      <w:r>
        <w:rPr>
          <w:color w:val="000000"/>
        </w:rPr>
        <w:t>[</w:t>
      </w:r>
      <w:r>
        <w:rPr>
          <w:i/>
          <w:color w:val="000000"/>
        </w:rPr>
        <w:t>This should be a completed ISO 27001:2013 Statement of Applicability for the Information Management System if ISO27001 certification is required by the contract.</w:t>
      </w:r>
      <w:r>
        <w:rPr>
          <w:color w:val="000000"/>
        </w:rPr>
        <w:t xml:space="preserve">] </w:t>
      </w:r>
    </w:p>
    <w:p w:rsidR="005F4C24" w:rsidRDefault="005F4C24">
      <w:pPr>
        <w:pBdr>
          <w:top w:val="nil"/>
          <w:left w:val="nil"/>
          <w:bottom w:val="nil"/>
          <w:right w:val="nil"/>
          <w:between w:val="nil"/>
        </w:pBdr>
        <w:rPr>
          <w:color w:val="000000"/>
        </w:rPr>
      </w:pPr>
    </w:p>
    <w:p w:rsidR="005F4C24" w:rsidRDefault="005F4C24">
      <w:pPr>
        <w:pBdr>
          <w:top w:val="nil"/>
          <w:left w:val="nil"/>
          <w:bottom w:val="nil"/>
          <w:right w:val="nil"/>
          <w:between w:val="nil"/>
        </w:pBdr>
        <w:rPr>
          <w:color w:val="000000"/>
        </w:rPr>
      </w:pPr>
    </w:p>
    <w:sectPr w:rsidR="005F4C24">
      <w:headerReference w:type="even" r:id="rId60"/>
      <w:headerReference w:type="default" r:id="rId61"/>
      <w:footerReference w:type="even" r:id="rId62"/>
      <w:footerReference w:type="default" r:id="rId63"/>
      <w:headerReference w:type="first" r:id="rId64"/>
      <w:footerReference w:type="first" r:id="rId65"/>
      <w:pgSz w:w="11906" w:h="16838"/>
      <w:pgMar w:top="1440" w:right="1440" w:bottom="1797"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0A32" w:rsidRDefault="001D0A32">
      <w:pPr>
        <w:spacing w:after="0"/>
      </w:pPr>
      <w:r>
        <w:separator/>
      </w:r>
    </w:p>
  </w:endnote>
  <w:endnote w:type="continuationSeparator" w:id="0">
    <w:p w:rsidR="001D0A32" w:rsidRDefault="001D0A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widowControl w:val="0"/>
      <w:pBdr>
        <w:top w:val="nil"/>
        <w:left w:val="nil"/>
        <w:bottom w:val="nil"/>
        <w:right w:val="nil"/>
        <w:between w:val="nil"/>
      </w:pBdr>
      <w:spacing w:after="0" w:line="276" w:lineRule="auto"/>
      <w:rPr>
        <w:color w:val="000000"/>
        <w:sz w:val="16"/>
        <w:szCs w:val="16"/>
      </w:rPr>
    </w:pPr>
  </w:p>
  <w:tbl>
    <w:tblPr>
      <w:tblStyle w:val="aff4"/>
      <w:tblW w:w="10206" w:type="dxa"/>
      <w:tblLayout w:type="fixed"/>
      <w:tblLook w:val="0000" w:firstRow="0" w:lastRow="0" w:firstColumn="0" w:lastColumn="0" w:noHBand="0" w:noVBand="0"/>
    </w:tblPr>
    <w:tblGrid>
      <w:gridCol w:w="2694"/>
      <w:gridCol w:w="7512"/>
    </w:tblGrid>
    <w:tr w:rsidR="005F4C24">
      <w:trPr>
        <w:trHeight w:val="1612"/>
      </w:trPr>
      <w:tc>
        <w:tcPr>
          <w:tcW w:w="2694" w:type="dxa"/>
          <w:vAlign w:val="bottom"/>
        </w:tcPr>
        <w:p w:rsidR="005F4C24" w:rsidRDefault="005F4C24"/>
      </w:tc>
      <w:tc>
        <w:tcPr>
          <w:tcW w:w="7512" w:type="dxa"/>
          <w:vAlign w:val="bottom"/>
        </w:tcPr>
        <w:p w:rsidR="005F4C24" w:rsidRDefault="005F4C24"/>
      </w:tc>
    </w:tr>
  </w:tbl>
  <w:p w:rsidR="005F4C24" w:rsidRDefault="005F4C24">
    <w:pPr>
      <w:pBdr>
        <w:top w:val="nil"/>
        <w:left w:val="nil"/>
        <w:bottom w:val="nil"/>
        <w:right w:val="nil"/>
        <w:between w:val="nil"/>
      </w:pBdr>
      <w:tabs>
        <w:tab w:val="center" w:pos="4153"/>
        <w:tab w:val="right" w:pos="8306"/>
      </w:tabs>
      <w:spacing w:after="0"/>
      <w:jc w:val="both"/>
      <w:rPr>
        <w:color w:val="000000"/>
        <w:sz w:val="16"/>
        <w:szCs w:val="16"/>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widowControl w:val="0"/>
      <w:pBdr>
        <w:top w:val="nil"/>
        <w:left w:val="nil"/>
        <w:bottom w:val="nil"/>
        <w:right w:val="nil"/>
        <w:between w:val="nil"/>
      </w:pBdr>
      <w:spacing w:after="0" w:line="276" w:lineRule="auto"/>
      <w:rPr>
        <w:color w:val="000000"/>
        <w:sz w:val="16"/>
        <w:szCs w:val="16"/>
      </w:rPr>
    </w:pPr>
  </w:p>
  <w:tbl>
    <w:tblPr>
      <w:tblStyle w:val="aff9"/>
      <w:tblW w:w="9026" w:type="dxa"/>
      <w:tblBorders>
        <w:top w:val="single" w:sz="4" w:space="0" w:color="7D7D7D"/>
      </w:tblBorders>
      <w:tblLayout w:type="fixed"/>
      <w:tblLook w:val="0400" w:firstRow="0" w:lastRow="0" w:firstColumn="0" w:lastColumn="0" w:noHBand="0" w:noVBand="1"/>
    </w:tblPr>
    <w:tblGrid>
      <w:gridCol w:w="7510"/>
      <w:gridCol w:w="1516"/>
    </w:tblGrid>
    <w:tr w:rsidR="005F4C24">
      <w:trPr>
        <w:trHeight w:val="80"/>
      </w:trPr>
      <w:tc>
        <w:tcPr>
          <w:tcW w:w="7510" w:type="dxa"/>
          <w:tcBorders>
            <w:top w:val="single" w:sz="4" w:space="0" w:color="7D7D7D"/>
          </w:tcBorders>
        </w:tcPr>
        <w:p w:rsidR="005F4C24" w:rsidRDefault="004C2B0D">
          <w:pPr>
            <w:pBdr>
              <w:top w:val="nil"/>
              <w:left w:val="nil"/>
              <w:bottom w:val="nil"/>
              <w:right w:val="nil"/>
              <w:between w:val="nil"/>
            </w:pBdr>
            <w:tabs>
              <w:tab w:val="center" w:pos="4153"/>
              <w:tab w:val="right" w:pos="8306"/>
            </w:tabs>
            <w:spacing w:before="60"/>
            <w:ind w:left="-105"/>
            <w:jc w:val="both"/>
            <w:rPr>
              <w:color w:val="000000"/>
              <w:sz w:val="16"/>
              <w:szCs w:val="16"/>
            </w:rPr>
          </w:pPr>
          <w:r>
            <w:rPr>
              <w:color w:val="000000"/>
              <w:sz w:val="16"/>
              <w:szCs w:val="16"/>
            </w:rPr>
            <w:t xml:space="preserve">Annex </w:t>
          </w:r>
          <w:proofErr w:type="gramStart"/>
          <w:r>
            <w:rPr>
              <w:color w:val="000000"/>
              <w:sz w:val="16"/>
              <w:szCs w:val="16"/>
            </w:rPr>
            <w:t>A</w:t>
          </w:r>
          <w:proofErr w:type="gramEnd"/>
          <w:r>
            <w:rPr>
              <w:color w:val="000000"/>
              <w:sz w:val="16"/>
              <w:szCs w:val="16"/>
            </w:rPr>
            <w:t xml:space="preserve"> Additional Security Schedule - Security Management: Supplier-led Assurance</w:t>
          </w:r>
        </w:p>
      </w:tc>
      <w:tc>
        <w:tcPr>
          <w:tcW w:w="1516" w:type="dxa"/>
          <w:tcBorders>
            <w:top w:val="single" w:sz="4" w:space="0" w:color="7D7D7D"/>
          </w:tcBorders>
        </w:tcPr>
        <w:p w:rsidR="005F4C24" w:rsidRDefault="004C2B0D">
          <w:pPr>
            <w:pBdr>
              <w:top w:val="nil"/>
              <w:left w:val="nil"/>
              <w:bottom w:val="nil"/>
              <w:right w:val="nil"/>
              <w:between w:val="nil"/>
            </w:pBdr>
            <w:tabs>
              <w:tab w:val="center" w:pos="4153"/>
              <w:tab w:val="right" w:pos="8306"/>
            </w:tabs>
            <w:spacing w:before="60"/>
            <w:jc w:val="right"/>
            <w:rPr>
              <w:color w:val="000000"/>
              <w:sz w:val="16"/>
              <w:szCs w:val="16"/>
            </w:rPr>
          </w:pPr>
          <w:r>
            <w:rPr>
              <w:color w:val="000000"/>
              <w:sz w:val="16"/>
              <w:szCs w:val="16"/>
            </w:rPr>
            <w:t xml:space="preserve">DLA Piper </w:t>
          </w:r>
        </w:p>
      </w:tc>
    </w:tr>
  </w:tbl>
  <w:p w:rsidR="005F4C24" w:rsidRDefault="005F4C24">
    <w:pPr>
      <w:pBdr>
        <w:top w:val="nil"/>
        <w:left w:val="nil"/>
        <w:bottom w:val="nil"/>
        <w:right w:val="nil"/>
        <w:between w:val="nil"/>
      </w:pBdr>
      <w:tabs>
        <w:tab w:val="center" w:pos="4153"/>
        <w:tab w:val="right" w:pos="8306"/>
      </w:tabs>
      <w:spacing w:after="0"/>
      <w:jc w:val="both"/>
      <w:rPr>
        <w:color w:val="000000"/>
        <w:sz w:val="16"/>
        <w:szCs w:val="16"/>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widowControl w:val="0"/>
      <w:pBdr>
        <w:top w:val="nil"/>
        <w:left w:val="nil"/>
        <w:bottom w:val="nil"/>
        <w:right w:val="nil"/>
        <w:between w:val="nil"/>
      </w:pBdr>
      <w:spacing w:after="0" w:line="276" w:lineRule="auto"/>
      <w:rPr>
        <w:color w:val="000000"/>
        <w:sz w:val="16"/>
        <w:szCs w:val="16"/>
      </w:rPr>
    </w:pPr>
  </w:p>
  <w:tbl>
    <w:tblPr>
      <w:tblStyle w:val="affa"/>
      <w:tblW w:w="9026" w:type="dxa"/>
      <w:tblBorders>
        <w:top w:val="single" w:sz="4" w:space="0" w:color="7D7D7D"/>
      </w:tblBorders>
      <w:tblLayout w:type="fixed"/>
      <w:tblLook w:val="0400" w:firstRow="0" w:lastRow="0" w:firstColumn="0" w:lastColumn="0" w:noHBand="0" w:noVBand="1"/>
    </w:tblPr>
    <w:tblGrid>
      <w:gridCol w:w="7510"/>
      <w:gridCol w:w="1516"/>
    </w:tblGrid>
    <w:tr w:rsidR="005F4C24">
      <w:trPr>
        <w:trHeight w:val="80"/>
      </w:trPr>
      <w:tc>
        <w:tcPr>
          <w:tcW w:w="7510" w:type="dxa"/>
          <w:tcBorders>
            <w:top w:val="single" w:sz="4" w:space="0" w:color="7D7D7D"/>
          </w:tcBorders>
        </w:tcPr>
        <w:p w:rsidR="005F4C24" w:rsidRDefault="004C2B0D">
          <w:pPr>
            <w:pBdr>
              <w:top w:val="nil"/>
              <w:left w:val="nil"/>
              <w:bottom w:val="nil"/>
              <w:right w:val="nil"/>
              <w:between w:val="nil"/>
            </w:pBdr>
            <w:tabs>
              <w:tab w:val="center" w:pos="4153"/>
              <w:tab w:val="right" w:pos="8306"/>
            </w:tabs>
            <w:spacing w:before="60"/>
            <w:ind w:left="-105"/>
            <w:jc w:val="both"/>
            <w:rPr>
              <w:color w:val="000000"/>
              <w:sz w:val="16"/>
              <w:szCs w:val="16"/>
            </w:rPr>
          </w:pPr>
          <w:r>
            <w:rPr>
              <w:color w:val="000000"/>
              <w:sz w:val="16"/>
              <w:szCs w:val="16"/>
            </w:rPr>
            <w:t xml:space="preserve">Annex </w:t>
          </w:r>
          <w:proofErr w:type="gramStart"/>
          <w:r>
            <w:rPr>
              <w:color w:val="000000"/>
              <w:sz w:val="16"/>
              <w:szCs w:val="16"/>
            </w:rPr>
            <w:t>A</w:t>
          </w:r>
          <w:proofErr w:type="gramEnd"/>
          <w:r>
            <w:rPr>
              <w:color w:val="000000"/>
              <w:sz w:val="16"/>
              <w:szCs w:val="16"/>
            </w:rPr>
            <w:t xml:space="preserve"> Additional Security Schedule - Security Management: Supplier-led Assurance</w:t>
          </w:r>
        </w:p>
      </w:tc>
      <w:tc>
        <w:tcPr>
          <w:tcW w:w="1516" w:type="dxa"/>
          <w:tcBorders>
            <w:top w:val="single" w:sz="4" w:space="0" w:color="7D7D7D"/>
          </w:tcBorders>
        </w:tcPr>
        <w:p w:rsidR="005F4C24" w:rsidRDefault="005F4C24">
          <w:pPr>
            <w:pBdr>
              <w:top w:val="nil"/>
              <w:left w:val="nil"/>
              <w:bottom w:val="nil"/>
              <w:right w:val="nil"/>
              <w:between w:val="nil"/>
            </w:pBdr>
            <w:tabs>
              <w:tab w:val="center" w:pos="4153"/>
              <w:tab w:val="right" w:pos="8306"/>
            </w:tabs>
            <w:spacing w:before="60"/>
            <w:jc w:val="both"/>
            <w:rPr>
              <w:color w:val="000000"/>
              <w:sz w:val="16"/>
              <w:szCs w:val="16"/>
            </w:rPr>
          </w:pPr>
        </w:p>
      </w:tc>
    </w:tr>
  </w:tbl>
  <w:p w:rsidR="005F4C24" w:rsidRDefault="005F4C24">
    <w:pPr>
      <w:pBdr>
        <w:top w:val="nil"/>
        <w:left w:val="nil"/>
        <w:bottom w:val="nil"/>
        <w:right w:val="nil"/>
        <w:between w:val="nil"/>
      </w:pBdr>
      <w:tabs>
        <w:tab w:val="center" w:pos="4153"/>
        <w:tab w:val="right" w:pos="8306"/>
      </w:tabs>
      <w:spacing w:after="0"/>
      <w:jc w:val="both"/>
      <w:rPr>
        <w:color w:val="000000"/>
        <w:sz w:val="16"/>
        <w:szCs w:val="16"/>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widowControl w:val="0"/>
      <w:pBdr>
        <w:top w:val="nil"/>
        <w:left w:val="nil"/>
        <w:bottom w:val="nil"/>
        <w:right w:val="nil"/>
        <w:between w:val="nil"/>
      </w:pBdr>
      <w:spacing w:after="0" w:line="276" w:lineRule="auto"/>
      <w:rPr>
        <w:color w:val="000000"/>
        <w:sz w:val="16"/>
        <w:szCs w:val="16"/>
      </w:rPr>
    </w:pPr>
  </w:p>
  <w:tbl>
    <w:tblPr>
      <w:tblStyle w:val="aff5"/>
      <w:tblW w:w="9026" w:type="dxa"/>
      <w:tblBorders>
        <w:top w:val="single" w:sz="4" w:space="0" w:color="7D7D7D"/>
      </w:tblBorders>
      <w:tblLayout w:type="fixed"/>
      <w:tblLook w:val="0400" w:firstRow="0" w:lastRow="0" w:firstColumn="0" w:lastColumn="0" w:noHBand="0" w:noVBand="1"/>
    </w:tblPr>
    <w:tblGrid>
      <w:gridCol w:w="7510"/>
      <w:gridCol w:w="1516"/>
    </w:tblGrid>
    <w:tr w:rsidR="005F4C24">
      <w:trPr>
        <w:trHeight w:val="80"/>
      </w:trPr>
      <w:tc>
        <w:tcPr>
          <w:tcW w:w="7510" w:type="dxa"/>
          <w:tcBorders>
            <w:top w:val="single" w:sz="4" w:space="0" w:color="7D7D7D"/>
          </w:tcBorders>
        </w:tcPr>
        <w:p w:rsidR="005F4C24" w:rsidRDefault="004C2B0D">
          <w:pPr>
            <w:pBdr>
              <w:top w:val="nil"/>
              <w:left w:val="nil"/>
              <w:bottom w:val="nil"/>
              <w:right w:val="nil"/>
              <w:between w:val="nil"/>
            </w:pBdr>
            <w:tabs>
              <w:tab w:val="center" w:pos="4153"/>
              <w:tab w:val="right" w:pos="8306"/>
            </w:tabs>
            <w:spacing w:before="60"/>
            <w:ind w:left="-105"/>
            <w:jc w:val="both"/>
            <w:rPr>
              <w:color w:val="000000"/>
              <w:sz w:val="16"/>
              <w:szCs w:val="16"/>
            </w:rPr>
          </w:pPr>
          <w:r>
            <w:rPr>
              <w:color w:val="000000"/>
              <w:sz w:val="16"/>
              <w:szCs w:val="16"/>
            </w:rPr>
            <w:t xml:space="preserve">Annex </w:t>
          </w:r>
          <w:proofErr w:type="gramStart"/>
          <w:r>
            <w:rPr>
              <w:color w:val="000000"/>
              <w:sz w:val="16"/>
              <w:szCs w:val="16"/>
            </w:rPr>
            <w:t>A</w:t>
          </w:r>
          <w:proofErr w:type="gramEnd"/>
          <w:r>
            <w:rPr>
              <w:color w:val="000000"/>
              <w:sz w:val="16"/>
              <w:szCs w:val="16"/>
            </w:rPr>
            <w:t xml:space="preserve"> Additional Security Schedule - Security Management: Supplier-led Assurance</w:t>
          </w:r>
        </w:p>
      </w:tc>
      <w:tc>
        <w:tcPr>
          <w:tcW w:w="1516" w:type="dxa"/>
          <w:tcBorders>
            <w:top w:val="single" w:sz="4" w:space="0" w:color="7D7D7D"/>
          </w:tcBorders>
        </w:tcPr>
        <w:p w:rsidR="005F4C24" w:rsidRDefault="004C2B0D">
          <w:pPr>
            <w:pBdr>
              <w:top w:val="nil"/>
              <w:left w:val="nil"/>
              <w:bottom w:val="nil"/>
              <w:right w:val="nil"/>
              <w:between w:val="nil"/>
            </w:pBdr>
            <w:tabs>
              <w:tab w:val="center" w:pos="4153"/>
              <w:tab w:val="right" w:pos="8306"/>
            </w:tabs>
            <w:spacing w:before="60"/>
            <w:jc w:val="right"/>
            <w:rPr>
              <w:color w:val="000000"/>
              <w:sz w:val="16"/>
              <w:szCs w:val="16"/>
            </w:rPr>
          </w:pPr>
          <w:r>
            <w:rPr>
              <w:color w:val="000000"/>
              <w:sz w:val="16"/>
              <w:szCs w:val="16"/>
            </w:rPr>
            <w:t xml:space="preserve">| </w:t>
          </w:r>
          <w:r>
            <w:rPr>
              <w:color w:val="000000"/>
              <w:sz w:val="16"/>
              <w:szCs w:val="16"/>
            </w:rPr>
            <w:fldChar w:fldCharType="begin"/>
          </w:r>
          <w:r>
            <w:rPr>
              <w:color w:val="000000"/>
              <w:sz w:val="16"/>
              <w:szCs w:val="16"/>
            </w:rPr>
            <w:instrText>PAGE</w:instrText>
          </w:r>
          <w:r>
            <w:rPr>
              <w:color w:val="000000"/>
              <w:sz w:val="16"/>
              <w:szCs w:val="16"/>
            </w:rPr>
            <w:fldChar w:fldCharType="separate"/>
          </w:r>
          <w:r w:rsidR="00B93386">
            <w:rPr>
              <w:noProof/>
              <w:color w:val="000000"/>
              <w:sz w:val="16"/>
              <w:szCs w:val="16"/>
            </w:rPr>
            <w:t>1</w:t>
          </w:r>
          <w:r>
            <w:rPr>
              <w:color w:val="000000"/>
              <w:sz w:val="16"/>
              <w:szCs w:val="16"/>
            </w:rPr>
            <w:fldChar w:fldCharType="end"/>
          </w:r>
        </w:p>
      </w:tc>
    </w:tr>
  </w:tbl>
  <w:p w:rsidR="005F4C24" w:rsidRDefault="005F4C24">
    <w:pPr>
      <w:pBdr>
        <w:top w:val="nil"/>
        <w:left w:val="nil"/>
        <w:bottom w:val="nil"/>
        <w:right w:val="nil"/>
        <w:between w:val="nil"/>
      </w:pBdr>
      <w:tabs>
        <w:tab w:val="center" w:pos="4153"/>
        <w:tab w:val="right" w:pos="8306"/>
      </w:tabs>
      <w:spacing w:after="0"/>
      <w:jc w:val="both"/>
      <w:rPr>
        <w:color w:val="000000"/>
        <w:sz w:val="16"/>
        <w:szCs w:val="16"/>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pBdr>
        <w:top w:val="nil"/>
        <w:left w:val="nil"/>
        <w:bottom w:val="nil"/>
        <w:right w:val="nil"/>
        <w:between w:val="nil"/>
      </w:pBdr>
      <w:tabs>
        <w:tab w:val="center" w:pos="4153"/>
        <w:tab w:val="right" w:pos="8306"/>
      </w:tabs>
      <w:spacing w:after="0"/>
      <w:jc w:val="both"/>
      <w:rPr>
        <w:color w:val="000000"/>
        <w:sz w:val="16"/>
        <w:szCs w:val="16"/>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widowControl w:val="0"/>
      <w:pBdr>
        <w:top w:val="nil"/>
        <w:left w:val="nil"/>
        <w:bottom w:val="nil"/>
        <w:right w:val="nil"/>
        <w:between w:val="nil"/>
      </w:pBdr>
      <w:spacing w:after="0" w:line="276" w:lineRule="auto"/>
      <w:rPr>
        <w:color w:val="000000"/>
        <w:sz w:val="16"/>
        <w:szCs w:val="16"/>
      </w:rPr>
    </w:pPr>
  </w:p>
  <w:tbl>
    <w:tblPr>
      <w:tblStyle w:val="aff6"/>
      <w:tblW w:w="9026" w:type="dxa"/>
      <w:tblBorders>
        <w:top w:val="single" w:sz="4" w:space="0" w:color="7D7D7D"/>
      </w:tblBorders>
      <w:tblLayout w:type="fixed"/>
      <w:tblLook w:val="0400" w:firstRow="0" w:lastRow="0" w:firstColumn="0" w:lastColumn="0" w:noHBand="0" w:noVBand="1"/>
    </w:tblPr>
    <w:tblGrid>
      <w:gridCol w:w="7510"/>
      <w:gridCol w:w="1516"/>
    </w:tblGrid>
    <w:tr w:rsidR="005F4C24">
      <w:trPr>
        <w:trHeight w:val="80"/>
      </w:trPr>
      <w:tc>
        <w:tcPr>
          <w:tcW w:w="7510" w:type="dxa"/>
          <w:tcBorders>
            <w:top w:val="single" w:sz="4" w:space="0" w:color="7D7D7D"/>
          </w:tcBorders>
        </w:tcPr>
        <w:p w:rsidR="005F4C24" w:rsidRDefault="004C2B0D">
          <w:pPr>
            <w:pBdr>
              <w:top w:val="nil"/>
              <w:left w:val="nil"/>
              <w:bottom w:val="nil"/>
              <w:right w:val="nil"/>
              <w:between w:val="nil"/>
            </w:pBdr>
            <w:tabs>
              <w:tab w:val="center" w:pos="4153"/>
              <w:tab w:val="right" w:pos="8306"/>
            </w:tabs>
            <w:spacing w:before="60"/>
            <w:ind w:left="-105"/>
            <w:jc w:val="both"/>
            <w:rPr>
              <w:color w:val="000000"/>
              <w:sz w:val="16"/>
              <w:szCs w:val="16"/>
            </w:rPr>
          </w:pPr>
          <w:r>
            <w:rPr>
              <w:color w:val="000000"/>
              <w:sz w:val="16"/>
              <w:szCs w:val="16"/>
            </w:rPr>
            <w:t xml:space="preserve">Annex </w:t>
          </w:r>
          <w:proofErr w:type="gramStart"/>
          <w:r>
            <w:rPr>
              <w:color w:val="000000"/>
              <w:sz w:val="16"/>
              <w:szCs w:val="16"/>
            </w:rPr>
            <w:t>A</w:t>
          </w:r>
          <w:proofErr w:type="gramEnd"/>
          <w:r>
            <w:rPr>
              <w:color w:val="000000"/>
              <w:sz w:val="16"/>
              <w:szCs w:val="16"/>
            </w:rPr>
            <w:t xml:space="preserve"> Additional Security Schedule - Security Management: Supplier-led Assurance</w:t>
          </w:r>
        </w:p>
      </w:tc>
      <w:tc>
        <w:tcPr>
          <w:tcW w:w="1516" w:type="dxa"/>
          <w:tcBorders>
            <w:top w:val="single" w:sz="4" w:space="0" w:color="7D7D7D"/>
          </w:tcBorders>
        </w:tcPr>
        <w:p w:rsidR="005F4C24" w:rsidRDefault="004C2B0D">
          <w:pPr>
            <w:pBdr>
              <w:top w:val="nil"/>
              <w:left w:val="nil"/>
              <w:bottom w:val="nil"/>
              <w:right w:val="nil"/>
              <w:between w:val="nil"/>
            </w:pBdr>
            <w:tabs>
              <w:tab w:val="center" w:pos="4153"/>
              <w:tab w:val="right" w:pos="8306"/>
            </w:tabs>
            <w:spacing w:before="60"/>
            <w:jc w:val="right"/>
            <w:rPr>
              <w:color w:val="000000"/>
              <w:sz w:val="16"/>
              <w:szCs w:val="16"/>
            </w:rPr>
          </w:pPr>
          <w:r>
            <w:rPr>
              <w:color w:val="000000"/>
              <w:sz w:val="16"/>
              <w:szCs w:val="16"/>
            </w:rPr>
            <w:t xml:space="preserve">DLA Piper | </w:t>
          </w:r>
        </w:p>
      </w:tc>
    </w:tr>
  </w:tbl>
  <w:p w:rsidR="005F4C24" w:rsidRDefault="005F4C24">
    <w:pPr>
      <w:pBdr>
        <w:top w:val="nil"/>
        <w:left w:val="nil"/>
        <w:bottom w:val="nil"/>
        <w:right w:val="nil"/>
        <w:between w:val="nil"/>
      </w:pBdr>
      <w:tabs>
        <w:tab w:val="center" w:pos="4153"/>
        <w:tab w:val="right" w:pos="8306"/>
      </w:tabs>
      <w:spacing w:after="0"/>
      <w:jc w:val="both"/>
      <w:rPr>
        <w:color w:val="000000"/>
        <w:sz w:val="16"/>
        <w:szCs w:val="16"/>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pBdr>
        <w:top w:val="nil"/>
        <w:left w:val="nil"/>
        <w:bottom w:val="nil"/>
        <w:right w:val="nil"/>
        <w:between w:val="nil"/>
      </w:pBdr>
      <w:tabs>
        <w:tab w:val="center" w:pos="4153"/>
        <w:tab w:val="right" w:pos="8306"/>
      </w:tabs>
      <w:spacing w:after="0"/>
      <w:jc w:val="both"/>
      <w:rPr>
        <w:color w:val="000000"/>
        <w:sz w:val="16"/>
        <w:szCs w:val="16"/>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pBdr>
        <w:top w:val="nil"/>
        <w:left w:val="nil"/>
        <w:bottom w:val="nil"/>
        <w:right w:val="nil"/>
        <w:between w:val="nil"/>
      </w:pBdr>
      <w:tabs>
        <w:tab w:val="center" w:pos="4153"/>
        <w:tab w:val="right" w:pos="8306"/>
      </w:tabs>
      <w:spacing w:after="0"/>
      <w:jc w:val="both"/>
      <w:rPr>
        <w:color w:val="000000"/>
        <w:sz w:val="16"/>
        <w:szCs w:val="16"/>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widowControl w:val="0"/>
      <w:pBdr>
        <w:top w:val="nil"/>
        <w:left w:val="nil"/>
        <w:bottom w:val="nil"/>
        <w:right w:val="nil"/>
        <w:between w:val="nil"/>
      </w:pBdr>
      <w:spacing w:after="0" w:line="276" w:lineRule="auto"/>
      <w:rPr>
        <w:color w:val="000000"/>
        <w:sz w:val="16"/>
        <w:szCs w:val="16"/>
      </w:rPr>
    </w:pPr>
  </w:p>
  <w:tbl>
    <w:tblPr>
      <w:tblStyle w:val="aff8"/>
      <w:tblW w:w="9026" w:type="dxa"/>
      <w:tblBorders>
        <w:top w:val="single" w:sz="4" w:space="0" w:color="7D7D7D"/>
      </w:tblBorders>
      <w:tblLayout w:type="fixed"/>
      <w:tblLook w:val="0400" w:firstRow="0" w:lastRow="0" w:firstColumn="0" w:lastColumn="0" w:noHBand="0" w:noVBand="1"/>
    </w:tblPr>
    <w:tblGrid>
      <w:gridCol w:w="7510"/>
      <w:gridCol w:w="1516"/>
    </w:tblGrid>
    <w:tr w:rsidR="005F4C24">
      <w:trPr>
        <w:trHeight w:val="80"/>
      </w:trPr>
      <w:tc>
        <w:tcPr>
          <w:tcW w:w="7510" w:type="dxa"/>
          <w:tcBorders>
            <w:top w:val="single" w:sz="4" w:space="0" w:color="7D7D7D"/>
          </w:tcBorders>
        </w:tcPr>
        <w:p w:rsidR="005F4C24" w:rsidRDefault="004C2B0D">
          <w:pPr>
            <w:pBdr>
              <w:top w:val="nil"/>
              <w:left w:val="nil"/>
              <w:bottom w:val="nil"/>
              <w:right w:val="nil"/>
              <w:between w:val="nil"/>
            </w:pBdr>
            <w:tabs>
              <w:tab w:val="center" w:pos="4153"/>
              <w:tab w:val="right" w:pos="8306"/>
            </w:tabs>
            <w:spacing w:before="60"/>
            <w:ind w:left="-105"/>
            <w:jc w:val="both"/>
            <w:rPr>
              <w:color w:val="000000"/>
              <w:sz w:val="16"/>
              <w:szCs w:val="16"/>
            </w:rPr>
          </w:pPr>
          <w:r>
            <w:rPr>
              <w:color w:val="000000"/>
              <w:sz w:val="16"/>
              <w:szCs w:val="16"/>
            </w:rPr>
            <w:t xml:space="preserve">Annex </w:t>
          </w:r>
          <w:proofErr w:type="gramStart"/>
          <w:r>
            <w:rPr>
              <w:color w:val="000000"/>
              <w:sz w:val="16"/>
              <w:szCs w:val="16"/>
            </w:rPr>
            <w:t>A</w:t>
          </w:r>
          <w:proofErr w:type="gramEnd"/>
          <w:r>
            <w:rPr>
              <w:color w:val="000000"/>
              <w:sz w:val="16"/>
              <w:szCs w:val="16"/>
            </w:rPr>
            <w:t xml:space="preserve"> Additional Security Schedule - Security Management: Supplier-led Assurance</w:t>
          </w:r>
        </w:p>
      </w:tc>
      <w:tc>
        <w:tcPr>
          <w:tcW w:w="1516" w:type="dxa"/>
          <w:tcBorders>
            <w:top w:val="single" w:sz="4" w:space="0" w:color="7D7D7D"/>
          </w:tcBorders>
        </w:tcPr>
        <w:p w:rsidR="005F4C24" w:rsidRDefault="004C2B0D">
          <w:pPr>
            <w:pBdr>
              <w:top w:val="nil"/>
              <w:left w:val="nil"/>
              <w:bottom w:val="nil"/>
              <w:right w:val="nil"/>
              <w:between w:val="nil"/>
            </w:pBdr>
            <w:tabs>
              <w:tab w:val="center" w:pos="4153"/>
              <w:tab w:val="right" w:pos="8306"/>
            </w:tabs>
            <w:spacing w:before="60"/>
            <w:jc w:val="right"/>
            <w:rPr>
              <w:color w:val="000000"/>
              <w:sz w:val="16"/>
              <w:szCs w:val="16"/>
            </w:rPr>
          </w:pPr>
          <w:r>
            <w:rPr>
              <w:color w:val="000000"/>
              <w:sz w:val="16"/>
              <w:szCs w:val="16"/>
            </w:rPr>
            <w:t xml:space="preserve">DLA Piper </w:t>
          </w:r>
        </w:p>
      </w:tc>
    </w:tr>
  </w:tbl>
  <w:p w:rsidR="005F4C24" w:rsidRDefault="005F4C24">
    <w:pPr>
      <w:pBdr>
        <w:top w:val="nil"/>
        <w:left w:val="nil"/>
        <w:bottom w:val="nil"/>
        <w:right w:val="nil"/>
        <w:between w:val="nil"/>
      </w:pBdr>
      <w:tabs>
        <w:tab w:val="center" w:pos="4153"/>
        <w:tab w:val="right" w:pos="8306"/>
      </w:tabs>
      <w:spacing w:after="0"/>
      <w:jc w:val="both"/>
      <w:rPr>
        <w:color w:val="000000"/>
        <w:sz w:val="16"/>
        <w:szCs w:val="16"/>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pBdr>
        <w:top w:val="nil"/>
        <w:left w:val="nil"/>
        <w:bottom w:val="nil"/>
        <w:right w:val="nil"/>
        <w:between w:val="nil"/>
      </w:pBdr>
      <w:tabs>
        <w:tab w:val="center" w:pos="4153"/>
        <w:tab w:val="right" w:pos="8306"/>
      </w:tabs>
      <w:spacing w:after="0"/>
      <w:jc w:val="both"/>
      <w:rPr>
        <w:color w:val="000000"/>
        <w:sz w:val="16"/>
        <w:szCs w:val="16"/>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pBdr>
        <w:top w:val="nil"/>
        <w:left w:val="nil"/>
        <w:bottom w:val="nil"/>
        <w:right w:val="nil"/>
        <w:between w:val="nil"/>
      </w:pBdr>
      <w:tabs>
        <w:tab w:val="center" w:pos="4153"/>
        <w:tab w:val="right" w:pos="8306"/>
      </w:tabs>
      <w:spacing w:after="0"/>
      <w:jc w:val="both"/>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widowControl w:val="0"/>
      <w:pBdr>
        <w:top w:val="nil"/>
        <w:left w:val="nil"/>
        <w:bottom w:val="nil"/>
        <w:right w:val="nil"/>
        <w:between w:val="nil"/>
      </w:pBdr>
      <w:spacing w:after="0" w:line="276" w:lineRule="auto"/>
      <w:rPr>
        <w:color w:val="000000"/>
        <w:sz w:val="16"/>
        <w:szCs w:val="16"/>
      </w:rPr>
    </w:pPr>
  </w:p>
  <w:tbl>
    <w:tblPr>
      <w:tblStyle w:val="affc"/>
      <w:tblW w:w="9026" w:type="dxa"/>
      <w:tblBorders>
        <w:top w:val="single" w:sz="4" w:space="0" w:color="7D7D7D"/>
      </w:tblBorders>
      <w:tblLayout w:type="fixed"/>
      <w:tblLook w:val="0400" w:firstRow="0" w:lastRow="0" w:firstColumn="0" w:lastColumn="0" w:noHBand="0" w:noVBand="1"/>
    </w:tblPr>
    <w:tblGrid>
      <w:gridCol w:w="7956"/>
      <w:gridCol w:w="1070"/>
    </w:tblGrid>
    <w:tr w:rsidR="005F4C24">
      <w:trPr>
        <w:trHeight w:val="80"/>
      </w:trPr>
      <w:tc>
        <w:tcPr>
          <w:tcW w:w="7956" w:type="dxa"/>
          <w:tcBorders>
            <w:top w:val="single" w:sz="4" w:space="0" w:color="7D7D7D"/>
          </w:tcBorders>
        </w:tcPr>
        <w:p w:rsidR="005F4C24" w:rsidRDefault="004C2B0D">
          <w:pPr>
            <w:pBdr>
              <w:top w:val="nil"/>
              <w:left w:val="nil"/>
              <w:bottom w:val="nil"/>
              <w:right w:val="nil"/>
              <w:between w:val="nil"/>
            </w:pBdr>
            <w:tabs>
              <w:tab w:val="center" w:pos="4153"/>
              <w:tab w:val="right" w:pos="8306"/>
            </w:tabs>
            <w:spacing w:before="60"/>
            <w:ind w:left="-105"/>
            <w:jc w:val="both"/>
            <w:rPr>
              <w:color w:val="000000"/>
              <w:sz w:val="16"/>
              <w:szCs w:val="16"/>
            </w:rPr>
          </w:pPr>
          <w:r>
            <w:rPr>
              <w:color w:val="000000"/>
              <w:sz w:val="16"/>
              <w:szCs w:val="16"/>
            </w:rPr>
            <w:t xml:space="preserve">Annex </w:t>
          </w:r>
          <w:proofErr w:type="gramStart"/>
          <w:r>
            <w:rPr>
              <w:color w:val="000000"/>
              <w:sz w:val="16"/>
              <w:szCs w:val="16"/>
            </w:rPr>
            <w:t>A</w:t>
          </w:r>
          <w:proofErr w:type="gramEnd"/>
          <w:r>
            <w:rPr>
              <w:color w:val="000000"/>
              <w:sz w:val="16"/>
              <w:szCs w:val="16"/>
            </w:rPr>
            <w:t xml:space="preserve"> Additional Security Schedule - Security Management: Supplier-led Assurance | UKM/125115483.4</w:t>
          </w:r>
        </w:p>
      </w:tc>
      <w:tc>
        <w:tcPr>
          <w:tcW w:w="1070" w:type="dxa"/>
          <w:tcBorders>
            <w:top w:val="single" w:sz="4" w:space="0" w:color="7D7D7D"/>
          </w:tcBorders>
        </w:tcPr>
        <w:p w:rsidR="005F4C24" w:rsidRDefault="005F4C24">
          <w:pPr>
            <w:pBdr>
              <w:top w:val="nil"/>
              <w:left w:val="nil"/>
              <w:bottom w:val="nil"/>
              <w:right w:val="nil"/>
              <w:between w:val="nil"/>
            </w:pBdr>
            <w:tabs>
              <w:tab w:val="center" w:pos="4153"/>
              <w:tab w:val="right" w:pos="8306"/>
            </w:tabs>
            <w:spacing w:before="60"/>
            <w:jc w:val="right"/>
            <w:rPr>
              <w:color w:val="000000"/>
              <w:sz w:val="16"/>
              <w:szCs w:val="16"/>
            </w:rPr>
          </w:pPr>
        </w:p>
      </w:tc>
    </w:tr>
  </w:tbl>
  <w:p w:rsidR="005F4C24" w:rsidRDefault="005F4C24">
    <w:pPr>
      <w:pBdr>
        <w:top w:val="nil"/>
        <w:left w:val="nil"/>
        <w:bottom w:val="nil"/>
        <w:right w:val="nil"/>
        <w:between w:val="nil"/>
      </w:pBdr>
      <w:tabs>
        <w:tab w:val="center" w:pos="4153"/>
        <w:tab w:val="right" w:pos="8306"/>
      </w:tabs>
      <w:spacing w:after="0"/>
      <w:jc w:val="both"/>
      <w:rPr>
        <w:color w:val="000000"/>
        <w:sz w:val="16"/>
        <w:szCs w:val="16"/>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pBdr>
        <w:top w:val="nil"/>
        <w:left w:val="nil"/>
        <w:bottom w:val="nil"/>
        <w:right w:val="nil"/>
        <w:between w:val="nil"/>
      </w:pBdr>
      <w:tabs>
        <w:tab w:val="center" w:pos="4153"/>
        <w:tab w:val="right" w:pos="8306"/>
      </w:tabs>
      <w:spacing w:after="0"/>
      <w:jc w:val="both"/>
      <w:rPr>
        <w:color w:val="000000"/>
        <w:sz w:val="16"/>
        <w:szCs w:val="16"/>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pBdr>
        <w:top w:val="nil"/>
        <w:left w:val="nil"/>
        <w:bottom w:val="nil"/>
        <w:right w:val="nil"/>
        <w:between w:val="nil"/>
      </w:pBdr>
      <w:tabs>
        <w:tab w:val="center" w:pos="4153"/>
        <w:tab w:val="right" w:pos="8306"/>
      </w:tabs>
      <w:spacing w:after="0"/>
      <w:jc w:val="both"/>
      <w:rPr>
        <w:color w:val="000000"/>
        <w:sz w:val="16"/>
        <w:szCs w:val="16"/>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pBdr>
        <w:top w:val="nil"/>
        <w:left w:val="nil"/>
        <w:bottom w:val="nil"/>
        <w:right w:val="nil"/>
        <w:between w:val="nil"/>
      </w:pBdr>
      <w:tabs>
        <w:tab w:val="center" w:pos="4153"/>
        <w:tab w:val="right" w:pos="8306"/>
      </w:tabs>
      <w:spacing w:after="0"/>
      <w:jc w:val="both"/>
      <w:rPr>
        <w:color w:val="000000"/>
        <w:sz w:val="16"/>
        <w:szCs w:val="16"/>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pBdr>
        <w:top w:val="nil"/>
        <w:left w:val="nil"/>
        <w:bottom w:val="nil"/>
        <w:right w:val="nil"/>
        <w:between w:val="nil"/>
      </w:pBdr>
      <w:tabs>
        <w:tab w:val="center" w:pos="4153"/>
        <w:tab w:val="right" w:pos="8306"/>
      </w:tabs>
      <w:spacing w:after="0"/>
      <w:jc w:val="both"/>
      <w:rPr>
        <w:color w:val="000000"/>
        <w:sz w:val="16"/>
        <w:szCs w:val="16"/>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widowControl w:val="0"/>
      <w:pBdr>
        <w:top w:val="nil"/>
        <w:left w:val="nil"/>
        <w:bottom w:val="nil"/>
        <w:right w:val="nil"/>
        <w:between w:val="nil"/>
      </w:pBdr>
      <w:spacing w:after="0" w:line="276" w:lineRule="auto"/>
      <w:rPr>
        <w:color w:val="000000"/>
        <w:sz w:val="16"/>
        <w:szCs w:val="16"/>
      </w:rPr>
    </w:pPr>
  </w:p>
  <w:tbl>
    <w:tblPr>
      <w:tblStyle w:val="aff7"/>
      <w:tblW w:w="9026" w:type="dxa"/>
      <w:tblBorders>
        <w:top w:val="single" w:sz="4" w:space="0" w:color="7D7D7D"/>
      </w:tblBorders>
      <w:tblLayout w:type="fixed"/>
      <w:tblLook w:val="0400" w:firstRow="0" w:lastRow="0" w:firstColumn="0" w:lastColumn="0" w:noHBand="0" w:noVBand="1"/>
    </w:tblPr>
    <w:tblGrid>
      <w:gridCol w:w="7510"/>
      <w:gridCol w:w="1516"/>
    </w:tblGrid>
    <w:tr w:rsidR="005F4C24">
      <w:trPr>
        <w:trHeight w:val="80"/>
      </w:trPr>
      <w:tc>
        <w:tcPr>
          <w:tcW w:w="7510" w:type="dxa"/>
          <w:tcBorders>
            <w:top w:val="single" w:sz="4" w:space="0" w:color="7D7D7D"/>
          </w:tcBorders>
        </w:tcPr>
        <w:p w:rsidR="005F4C24" w:rsidRDefault="004C2B0D">
          <w:pPr>
            <w:pBdr>
              <w:top w:val="nil"/>
              <w:left w:val="nil"/>
              <w:bottom w:val="nil"/>
              <w:right w:val="nil"/>
              <w:between w:val="nil"/>
            </w:pBdr>
            <w:tabs>
              <w:tab w:val="center" w:pos="4153"/>
              <w:tab w:val="right" w:pos="8306"/>
            </w:tabs>
            <w:spacing w:before="60"/>
            <w:ind w:left="-105"/>
            <w:jc w:val="both"/>
            <w:rPr>
              <w:color w:val="000000"/>
              <w:sz w:val="16"/>
              <w:szCs w:val="16"/>
            </w:rPr>
          </w:pPr>
          <w:r>
            <w:rPr>
              <w:color w:val="000000"/>
              <w:sz w:val="16"/>
              <w:szCs w:val="16"/>
            </w:rPr>
            <w:t xml:space="preserve">Annex </w:t>
          </w:r>
          <w:proofErr w:type="gramStart"/>
          <w:r>
            <w:rPr>
              <w:color w:val="000000"/>
              <w:sz w:val="16"/>
              <w:szCs w:val="16"/>
            </w:rPr>
            <w:t>A</w:t>
          </w:r>
          <w:proofErr w:type="gramEnd"/>
          <w:r>
            <w:rPr>
              <w:color w:val="000000"/>
              <w:sz w:val="16"/>
              <w:szCs w:val="16"/>
            </w:rPr>
            <w:t xml:space="preserve"> Additional Security Schedule - Security Management: Supplier-led Assurance</w:t>
          </w:r>
        </w:p>
      </w:tc>
      <w:tc>
        <w:tcPr>
          <w:tcW w:w="1516" w:type="dxa"/>
          <w:tcBorders>
            <w:top w:val="single" w:sz="4" w:space="0" w:color="7D7D7D"/>
          </w:tcBorders>
        </w:tcPr>
        <w:p w:rsidR="005F4C24" w:rsidRDefault="004C2B0D">
          <w:pPr>
            <w:pBdr>
              <w:top w:val="nil"/>
              <w:left w:val="nil"/>
              <w:bottom w:val="nil"/>
              <w:right w:val="nil"/>
              <w:between w:val="nil"/>
            </w:pBdr>
            <w:tabs>
              <w:tab w:val="center" w:pos="4153"/>
              <w:tab w:val="right" w:pos="8306"/>
            </w:tabs>
            <w:spacing w:before="60"/>
            <w:jc w:val="right"/>
            <w:rPr>
              <w:color w:val="000000"/>
              <w:sz w:val="16"/>
              <w:szCs w:val="16"/>
            </w:rPr>
          </w:pPr>
          <w:r>
            <w:rPr>
              <w:color w:val="000000"/>
              <w:sz w:val="16"/>
              <w:szCs w:val="16"/>
            </w:rPr>
            <w:t xml:space="preserve">DLA Piper </w:t>
          </w:r>
        </w:p>
      </w:tc>
    </w:tr>
  </w:tbl>
  <w:p w:rsidR="005F4C24" w:rsidRDefault="005F4C24">
    <w:pPr>
      <w:pBdr>
        <w:top w:val="nil"/>
        <w:left w:val="nil"/>
        <w:bottom w:val="nil"/>
        <w:right w:val="nil"/>
        <w:between w:val="nil"/>
      </w:pBdr>
      <w:tabs>
        <w:tab w:val="center" w:pos="4153"/>
        <w:tab w:val="right" w:pos="8306"/>
      </w:tabs>
      <w:spacing w:after="0"/>
      <w:jc w:val="both"/>
      <w:rPr>
        <w:color w:val="000000"/>
        <w:sz w:val="16"/>
        <w:szCs w:val="16"/>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pBdr>
        <w:top w:val="nil"/>
        <w:left w:val="nil"/>
        <w:bottom w:val="nil"/>
        <w:right w:val="nil"/>
        <w:between w:val="nil"/>
      </w:pBdr>
      <w:tabs>
        <w:tab w:val="center" w:pos="4153"/>
        <w:tab w:val="right" w:pos="8306"/>
      </w:tabs>
      <w:spacing w:after="0"/>
      <w:jc w:val="both"/>
      <w:rPr>
        <w:color w:val="000000"/>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widowControl w:val="0"/>
      <w:pBdr>
        <w:top w:val="nil"/>
        <w:left w:val="nil"/>
        <w:bottom w:val="nil"/>
        <w:right w:val="nil"/>
        <w:between w:val="nil"/>
      </w:pBdr>
      <w:spacing w:after="0" w:line="276" w:lineRule="auto"/>
      <w:rPr>
        <w:color w:val="000000"/>
        <w:sz w:val="16"/>
        <w:szCs w:val="16"/>
      </w:rPr>
    </w:pPr>
  </w:p>
  <w:tbl>
    <w:tblPr>
      <w:tblStyle w:val="affb"/>
      <w:tblW w:w="9026" w:type="dxa"/>
      <w:tblBorders>
        <w:top w:val="single" w:sz="4" w:space="0" w:color="7D7D7D"/>
      </w:tblBorders>
      <w:tblLayout w:type="fixed"/>
      <w:tblLook w:val="0400" w:firstRow="0" w:lastRow="0" w:firstColumn="0" w:lastColumn="0" w:noHBand="0" w:noVBand="1"/>
    </w:tblPr>
    <w:tblGrid>
      <w:gridCol w:w="7510"/>
      <w:gridCol w:w="1516"/>
    </w:tblGrid>
    <w:tr w:rsidR="005F4C24">
      <w:trPr>
        <w:trHeight w:val="80"/>
      </w:trPr>
      <w:tc>
        <w:tcPr>
          <w:tcW w:w="7510" w:type="dxa"/>
          <w:tcBorders>
            <w:top w:val="single" w:sz="4" w:space="0" w:color="7D7D7D"/>
          </w:tcBorders>
        </w:tcPr>
        <w:p w:rsidR="005F4C24" w:rsidRDefault="004C2B0D">
          <w:pPr>
            <w:pBdr>
              <w:top w:val="nil"/>
              <w:left w:val="nil"/>
              <w:bottom w:val="nil"/>
              <w:right w:val="nil"/>
              <w:between w:val="nil"/>
            </w:pBdr>
            <w:tabs>
              <w:tab w:val="center" w:pos="4153"/>
              <w:tab w:val="right" w:pos="8306"/>
            </w:tabs>
            <w:spacing w:before="60"/>
            <w:ind w:left="-105"/>
            <w:jc w:val="both"/>
            <w:rPr>
              <w:color w:val="000000"/>
              <w:sz w:val="16"/>
              <w:szCs w:val="16"/>
            </w:rPr>
          </w:pPr>
          <w:r>
            <w:rPr>
              <w:color w:val="000000"/>
              <w:sz w:val="16"/>
              <w:szCs w:val="16"/>
            </w:rPr>
            <w:t xml:space="preserve">Annex </w:t>
          </w:r>
          <w:proofErr w:type="gramStart"/>
          <w:r>
            <w:rPr>
              <w:color w:val="000000"/>
              <w:sz w:val="16"/>
              <w:szCs w:val="16"/>
            </w:rPr>
            <w:t>A</w:t>
          </w:r>
          <w:proofErr w:type="gramEnd"/>
          <w:r>
            <w:rPr>
              <w:color w:val="000000"/>
              <w:sz w:val="16"/>
              <w:szCs w:val="16"/>
            </w:rPr>
            <w:t xml:space="preserve"> Additional Security Schedule - Security Management: Supplier-led Assurance</w:t>
          </w:r>
        </w:p>
      </w:tc>
      <w:tc>
        <w:tcPr>
          <w:tcW w:w="1516" w:type="dxa"/>
          <w:tcBorders>
            <w:top w:val="single" w:sz="4" w:space="0" w:color="7D7D7D"/>
          </w:tcBorders>
        </w:tcPr>
        <w:p w:rsidR="005F4C24" w:rsidRDefault="004C2B0D">
          <w:pPr>
            <w:pBdr>
              <w:top w:val="nil"/>
              <w:left w:val="nil"/>
              <w:bottom w:val="nil"/>
              <w:right w:val="nil"/>
              <w:between w:val="nil"/>
            </w:pBdr>
            <w:tabs>
              <w:tab w:val="center" w:pos="4153"/>
              <w:tab w:val="right" w:pos="8306"/>
            </w:tabs>
            <w:spacing w:before="60"/>
            <w:jc w:val="right"/>
            <w:rPr>
              <w:color w:val="000000"/>
              <w:sz w:val="16"/>
              <w:szCs w:val="16"/>
            </w:rPr>
          </w:pPr>
          <w:r>
            <w:rPr>
              <w:color w:val="000000"/>
              <w:sz w:val="16"/>
              <w:szCs w:val="16"/>
            </w:rPr>
            <w:t xml:space="preserve">| </w:t>
          </w:r>
          <w:r>
            <w:rPr>
              <w:color w:val="000000"/>
              <w:sz w:val="16"/>
              <w:szCs w:val="16"/>
            </w:rPr>
            <w:fldChar w:fldCharType="begin"/>
          </w:r>
          <w:r>
            <w:rPr>
              <w:color w:val="000000"/>
              <w:sz w:val="16"/>
              <w:szCs w:val="16"/>
            </w:rPr>
            <w:instrText>PAGE</w:instrText>
          </w:r>
          <w:r>
            <w:rPr>
              <w:color w:val="000000"/>
              <w:sz w:val="16"/>
              <w:szCs w:val="16"/>
            </w:rPr>
            <w:fldChar w:fldCharType="separate"/>
          </w:r>
          <w:r w:rsidR="00B93386">
            <w:rPr>
              <w:noProof/>
              <w:color w:val="000000"/>
              <w:sz w:val="16"/>
              <w:szCs w:val="16"/>
            </w:rPr>
            <w:t>1</w:t>
          </w:r>
          <w:r>
            <w:rPr>
              <w:color w:val="000000"/>
              <w:sz w:val="16"/>
              <w:szCs w:val="16"/>
            </w:rPr>
            <w:fldChar w:fldCharType="end"/>
          </w:r>
        </w:p>
      </w:tc>
    </w:tr>
  </w:tbl>
  <w:p w:rsidR="005F4C24" w:rsidRDefault="005F4C24">
    <w:pPr>
      <w:widowControl w:val="0"/>
      <w:pBdr>
        <w:top w:val="nil"/>
        <w:left w:val="nil"/>
        <w:bottom w:val="nil"/>
        <w:right w:val="nil"/>
        <w:between w:val="nil"/>
      </w:pBdr>
      <w:spacing w:after="0" w:line="276" w:lineRule="auto"/>
      <w:rPr>
        <w:color w:val="000000"/>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pBdr>
        <w:top w:val="nil"/>
        <w:left w:val="nil"/>
        <w:bottom w:val="nil"/>
        <w:right w:val="nil"/>
        <w:between w:val="nil"/>
      </w:pBdr>
      <w:tabs>
        <w:tab w:val="center" w:pos="4153"/>
        <w:tab w:val="right" w:pos="8306"/>
      </w:tabs>
      <w:spacing w:after="0"/>
      <w:jc w:val="both"/>
      <w:rPr>
        <w:color w:val="000000"/>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widowControl w:val="0"/>
      <w:pBdr>
        <w:top w:val="nil"/>
        <w:left w:val="nil"/>
        <w:bottom w:val="nil"/>
        <w:right w:val="nil"/>
        <w:between w:val="nil"/>
      </w:pBdr>
      <w:spacing w:after="0" w:line="276" w:lineRule="auto"/>
      <w:rPr>
        <w:color w:val="000000"/>
        <w:sz w:val="16"/>
        <w:szCs w:val="16"/>
      </w:rPr>
    </w:pPr>
  </w:p>
  <w:tbl>
    <w:tblPr>
      <w:tblStyle w:val="affd"/>
      <w:tblW w:w="9026" w:type="dxa"/>
      <w:tblBorders>
        <w:top w:val="single" w:sz="4" w:space="0" w:color="7D7D7D"/>
      </w:tblBorders>
      <w:tblLayout w:type="fixed"/>
      <w:tblLook w:val="0400" w:firstRow="0" w:lastRow="0" w:firstColumn="0" w:lastColumn="0" w:noHBand="0" w:noVBand="1"/>
    </w:tblPr>
    <w:tblGrid>
      <w:gridCol w:w="7510"/>
      <w:gridCol w:w="1516"/>
    </w:tblGrid>
    <w:tr w:rsidR="005F4C24">
      <w:trPr>
        <w:trHeight w:val="80"/>
      </w:trPr>
      <w:tc>
        <w:tcPr>
          <w:tcW w:w="7510" w:type="dxa"/>
          <w:tcBorders>
            <w:top w:val="single" w:sz="4" w:space="0" w:color="7D7D7D"/>
          </w:tcBorders>
        </w:tcPr>
        <w:p w:rsidR="005F4C24" w:rsidRDefault="004C2B0D">
          <w:pPr>
            <w:pBdr>
              <w:top w:val="nil"/>
              <w:left w:val="nil"/>
              <w:bottom w:val="nil"/>
              <w:right w:val="nil"/>
              <w:between w:val="nil"/>
            </w:pBdr>
            <w:tabs>
              <w:tab w:val="center" w:pos="4153"/>
              <w:tab w:val="right" w:pos="8306"/>
            </w:tabs>
            <w:spacing w:before="60"/>
            <w:ind w:left="-105"/>
            <w:jc w:val="both"/>
            <w:rPr>
              <w:color w:val="000000"/>
              <w:sz w:val="16"/>
              <w:szCs w:val="16"/>
            </w:rPr>
          </w:pPr>
          <w:r>
            <w:rPr>
              <w:color w:val="000000"/>
              <w:sz w:val="16"/>
              <w:szCs w:val="16"/>
            </w:rPr>
            <w:t xml:space="preserve">Annex </w:t>
          </w:r>
          <w:proofErr w:type="gramStart"/>
          <w:r>
            <w:rPr>
              <w:color w:val="000000"/>
              <w:sz w:val="16"/>
              <w:szCs w:val="16"/>
            </w:rPr>
            <w:t>A</w:t>
          </w:r>
          <w:proofErr w:type="gramEnd"/>
          <w:r>
            <w:rPr>
              <w:color w:val="000000"/>
              <w:sz w:val="16"/>
              <w:szCs w:val="16"/>
            </w:rPr>
            <w:t xml:space="preserve"> Additional Security Schedule - Security Management: Supplier-led Assurance</w:t>
          </w:r>
        </w:p>
      </w:tc>
      <w:tc>
        <w:tcPr>
          <w:tcW w:w="1516" w:type="dxa"/>
          <w:tcBorders>
            <w:top w:val="single" w:sz="4" w:space="0" w:color="7D7D7D"/>
          </w:tcBorders>
        </w:tcPr>
        <w:p w:rsidR="005F4C24" w:rsidRDefault="005F4C24">
          <w:pPr>
            <w:pBdr>
              <w:top w:val="nil"/>
              <w:left w:val="nil"/>
              <w:bottom w:val="nil"/>
              <w:right w:val="nil"/>
              <w:between w:val="nil"/>
            </w:pBdr>
            <w:tabs>
              <w:tab w:val="center" w:pos="4153"/>
              <w:tab w:val="right" w:pos="8306"/>
            </w:tabs>
            <w:spacing w:before="60"/>
            <w:jc w:val="right"/>
            <w:rPr>
              <w:color w:val="000000"/>
              <w:sz w:val="16"/>
              <w:szCs w:val="16"/>
            </w:rPr>
          </w:pPr>
        </w:p>
      </w:tc>
    </w:tr>
  </w:tbl>
  <w:p w:rsidR="005F4C24" w:rsidRDefault="005F4C24">
    <w:pPr>
      <w:pBdr>
        <w:top w:val="nil"/>
        <w:left w:val="nil"/>
        <w:bottom w:val="nil"/>
        <w:right w:val="nil"/>
        <w:between w:val="nil"/>
      </w:pBdr>
      <w:tabs>
        <w:tab w:val="center" w:pos="4153"/>
        <w:tab w:val="right" w:pos="8306"/>
      </w:tabs>
      <w:spacing w:after="0"/>
      <w:jc w:val="both"/>
      <w:rPr>
        <w:color w:val="000000"/>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pBdr>
        <w:top w:val="nil"/>
        <w:left w:val="nil"/>
        <w:bottom w:val="nil"/>
        <w:right w:val="nil"/>
        <w:between w:val="nil"/>
      </w:pBdr>
      <w:tabs>
        <w:tab w:val="center" w:pos="4153"/>
        <w:tab w:val="right" w:pos="8306"/>
      </w:tabs>
      <w:spacing w:after="0"/>
      <w:jc w:val="both"/>
      <w:rPr>
        <w:color w:val="000000"/>
        <w:sz w:val="16"/>
        <w:szCs w:val="16"/>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pBdr>
        <w:top w:val="nil"/>
        <w:left w:val="nil"/>
        <w:bottom w:val="nil"/>
        <w:right w:val="nil"/>
        <w:between w:val="nil"/>
      </w:pBdr>
      <w:tabs>
        <w:tab w:val="center" w:pos="4153"/>
        <w:tab w:val="right" w:pos="8306"/>
      </w:tabs>
      <w:spacing w:after="0"/>
      <w:jc w:val="both"/>
      <w:rPr>
        <w:color w:val="000000"/>
        <w:sz w:val="16"/>
        <w:szCs w:val="16"/>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widowControl w:val="0"/>
      <w:pBdr>
        <w:top w:val="nil"/>
        <w:left w:val="nil"/>
        <w:bottom w:val="nil"/>
        <w:right w:val="nil"/>
        <w:between w:val="nil"/>
      </w:pBdr>
      <w:spacing w:after="0" w:line="276" w:lineRule="auto"/>
      <w:rPr>
        <w:color w:val="000000"/>
        <w:sz w:val="16"/>
        <w:szCs w:val="16"/>
      </w:rPr>
    </w:pPr>
  </w:p>
  <w:tbl>
    <w:tblPr>
      <w:tblStyle w:val="affe"/>
      <w:tblW w:w="9026" w:type="dxa"/>
      <w:tblBorders>
        <w:top w:val="single" w:sz="4" w:space="0" w:color="7D7D7D"/>
      </w:tblBorders>
      <w:tblLayout w:type="fixed"/>
      <w:tblLook w:val="0400" w:firstRow="0" w:lastRow="0" w:firstColumn="0" w:lastColumn="0" w:noHBand="0" w:noVBand="1"/>
    </w:tblPr>
    <w:tblGrid>
      <w:gridCol w:w="7510"/>
      <w:gridCol w:w="1516"/>
    </w:tblGrid>
    <w:tr w:rsidR="005F4C24">
      <w:trPr>
        <w:trHeight w:val="80"/>
      </w:trPr>
      <w:tc>
        <w:tcPr>
          <w:tcW w:w="7510" w:type="dxa"/>
          <w:tcBorders>
            <w:top w:val="single" w:sz="4" w:space="0" w:color="7D7D7D"/>
          </w:tcBorders>
        </w:tcPr>
        <w:p w:rsidR="005F4C24" w:rsidRDefault="004C2B0D">
          <w:pPr>
            <w:pBdr>
              <w:top w:val="nil"/>
              <w:left w:val="nil"/>
              <w:bottom w:val="nil"/>
              <w:right w:val="nil"/>
              <w:between w:val="nil"/>
            </w:pBdr>
            <w:tabs>
              <w:tab w:val="center" w:pos="4153"/>
              <w:tab w:val="right" w:pos="8306"/>
            </w:tabs>
            <w:spacing w:before="60"/>
            <w:ind w:left="-105"/>
            <w:jc w:val="both"/>
            <w:rPr>
              <w:color w:val="000000"/>
              <w:sz w:val="16"/>
              <w:szCs w:val="16"/>
            </w:rPr>
          </w:pPr>
          <w:r>
            <w:rPr>
              <w:color w:val="000000"/>
              <w:sz w:val="16"/>
              <w:szCs w:val="16"/>
            </w:rPr>
            <w:t xml:space="preserve">Annex </w:t>
          </w:r>
          <w:proofErr w:type="gramStart"/>
          <w:r>
            <w:rPr>
              <w:color w:val="000000"/>
              <w:sz w:val="16"/>
              <w:szCs w:val="16"/>
            </w:rPr>
            <w:t>A</w:t>
          </w:r>
          <w:proofErr w:type="gramEnd"/>
          <w:r>
            <w:rPr>
              <w:color w:val="000000"/>
              <w:sz w:val="16"/>
              <w:szCs w:val="16"/>
            </w:rPr>
            <w:t xml:space="preserve"> Additional Security Schedule - Security Management: Supplier-led Assurance</w:t>
          </w:r>
        </w:p>
      </w:tc>
      <w:tc>
        <w:tcPr>
          <w:tcW w:w="1516" w:type="dxa"/>
          <w:tcBorders>
            <w:top w:val="single" w:sz="4" w:space="0" w:color="7D7D7D"/>
          </w:tcBorders>
        </w:tcPr>
        <w:p w:rsidR="005F4C24" w:rsidRDefault="005F4C24">
          <w:pPr>
            <w:pBdr>
              <w:top w:val="nil"/>
              <w:left w:val="nil"/>
              <w:bottom w:val="nil"/>
              <w:right w:val="nil"/>
              <w:between w:val="nil"/>
            </w:pBdr>
            <w:tabs>
              <w:tab w:val="center" w:pos="4153"/>
              <w:tab w:val="right" w:pos="8306"/>
            </w:tabs>
            <w:spacing w:before="60"/>
            <w:jc w:val="right"/>
            <w:rPr>
              <w:color w:val="000000"/>
              <w:sz w:val="16"/>
              <w:szCs w:val="16"/>
            </w:rPr>
          </w:pPr>
        </w:p>
      </w:tc>
    </w:tr>
  </w:tbl>
  <w:p w:rsidR="005F4C24" w:rsidRDefault="005F4C24">
    <w:pPr>
      <w:pBdr>
        <w:top w:val="nil"/>
        <w:left w:val="nil"/>
        <w:bottom w:val="nil"/>
        <w:right w:val="nil"/>
        <w:between w:val="nil"/>
      </w:pBdr>
      <w:tabs>
        <w:tab w:val="center" w:pos="4153"/>
        <w:tab w:val="right" w:pos="8306"/>
      </w:tabs>
      <w:spacing w:after="0"/>
      <w:jc w:val="both"/>
      <w:rPr>
        <w:color w:val="000000"/>
        <w:sz w:val="16"/>
        <w:szCs w:val="16"/>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pBdr>
        <w:top w:val="nil"/>
        <w:left w:val="nil"/>
        <w:bottom w:val="nil"/>
        <w:right w:val="nil"/>
        <w:between w:val="nil"/>
      </w:pBdr>
      <w:tabs>
        <w:tab w:val="center" w:pos="4153"/>
        <w:tab w:val="right" w:pos="8306"/>
      </w:tabs>
      <w:spacing w:after="0"/>
      <w:jc w:val="both"/>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0A32" w:rsidRDefault="001D0A32">
      <w:pPr>
        <w:spacing w:after="0"/>
      </w:pPr>
      <w:r>
        <w:separator/>
      </w:r>
    </w:p>
  </w:footnote>
  <w:footnote w:type="continuationSeparator" w:id="0">
    <w:p w:rsidR="001D0A32" w:rsidRDefault="001D0A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4C2B0D">
    <w:pPr>
      <w:pBdr>
        <w:top w:val="nil"/>
        <w:left w:val="nil"/>
        <w:bottom w:val="nil"/>
        <w:right w:val="nil"/>
        <w:between w:val="nil"/>
      </w:pBdr>
      <w:tabs>
        <w:tab w:val="center" w:pos="4513"/>
        <w:tab w:val="right" w:pos="9026"/>
      </w:tabs>
      <w:spacing w:after="0"/>
      <w:rPr>
        <w:color w:val="000000"/>
      </w:rPr>
    </w:pPr>
    <w:r>
      <w:rPr>
        <w:noProof/>
        <w:color w:val="000000"/>
      </w:rPr>
      <mc:AlternateContent>
        <mc:Choice Requires="wpg">
          <w:drawing>
            <wp:anchor distT="0" distB="0" distL="114300" distR="114300" simplePos="0" relativeHeight="251658240" behindDoc="0" locked="0" layoutInCell="1" hidden="0" allowOverlap="1">
              <wp:simplePos x="0" y="0"/>
              <wp:positionH relativeFrom="page">
                <wp:posOffset>6291618</wp:posOffset>
              </wp:positionH>
              <wp:positionV relativeFrom="page">
                <wp:posOffset>-59284</wp:posOffset>
              </wp:positionV>
              <wp:extent cx="1259840" cy="1325479"/>
              <wp:effectExtent l="0" t="0" r="0" b="0"/>
              <wp:wrapNone/>
              <wp:docPr id="56" name="Group 56"/>
              <wp:cNvGraphicFramePr/>
              <a:graphic xmlns:a="http://schemas.openxmlformats.org/drawingml/2006/main">
                <a:graphicData uri="http://schemas.microsoft.com/office/word/2010/wordprocessingGroup">
                  <wpg:wgp>
                    <wpg:cNvGrpSpPr/>
                    <wpg:grpSpPr>
                      <a:xfrm>
                        <a:off x="0" y="0"/>
                        <a:ext cx="1259840" cy="1325479"/>
                        <a:chOff x="4716075" y="3117250"/>
                        <a:chExt cx="1259850" cy="1325500"/>
                      </a:xfrm>
                    </wpg:grpSpPr>
                    <wpg:grpSp>
                      <wpg:cNvPr id="1" name="Group 1"/>
                      <wpg:cNvGrpSpPr/>
                      <wpg:grpSpPr>
                        <a:xfrm>
                          <a:off x="4716080" y="3117261"/>
                          <a:ext cx="1259840" cy="1325479"/>
                          <a:chOff x="4716075" y="3117250"/>
                          <a:chExt cx="1259850" cy="1325500"/>
                        </a:xfrm>
                      </wpg:grpSpPr>
                      <wps:wsp>
                        <wps:cNvPr id="2" name="Rectangle 2"/>
                        <wps:cNvSpPr/>
                        <wps:spPr>
                          <a:xfrm>
                            <a:off x="4716075" y="3117250"/>
                            <a:ext cx="1259850" cy="1325500"/>
                          </a:xfrm>
                          <a:prstGeom prst="rect">
                            <a:avLst/>
                          </a:prstGeom>
                          <a:noFill/>
                          <a:ln>
                            <a:noFill/>
                          </a:ln>
                        </wps:spPr>
                        <wps:txbx>
                          <w:txbxContent>
                            <w:p w:rsidR="005F4C24" w:rsidRDefault="005F4C24">
                              <w:pPr>
                                <w:spacing w:after="0"/>
                                <w:textDirection w:val="btLr"/>
                              </w:pPr>
                            </w:p>
                          </w:txbxContent>
                        </wps:txbx>
                        <wps:bodyPr spcFirstLastPara="1" wrap="square" lIns="91425" tIns="91425" rIns="91425" bIns="91425" anchor="ctr" anchorCtr="0">
                          <a:noAutofit/>
                        </wps:bodyPr>
                      </wps:wsp>
                      <wpg:grpSp>
                        <wpg:cNvPr id="3" name="Group 3"/>
                        <wpg:cNvGrpSpPr/>
                        <wpg:grpSpPr>
                          <a:xfrm>
                            <a:off x="4716080" y="3117261"/>
                            <a:ext cx="1259840" cy="1325479"/>
                            <a:chOff x="-122521" y="-617069"/>
                            <a:chExt cx="1259651" cy="1325280"/>
                          </a:xfrm>
                        </wpg:grpSpPr>
                        <wps:wsp>
                          <wps:cNvPr id="4" name="Rectangle 4"/>
                          <wps:cNvSpPr/>
                          <wps:spPr>
                            <a:xfrm>
                              <a:off x="-122521" y="-617069"/>
                              <a:ext cx="1259650" cy="1325275"/>
                            </a:xfrm>
                            <a:prstGeom prst="rect">
                              <a:avLst/>
                            </a:prstGeom>
                            <a:noFill/>
                            <a:ln>
                              <a:noFill/>
                            </a:ln>
                          </wps:spPr>
                          <wps:txbx>
                            <w:txbxContent>
                              <w:p w:rsidR="005F4C24" w:rsidRDefault="005F4C24">
                                <w:pPr>
                                  <w:spacing w:after="0"/>
                                  <w:textDirection w:val="btLr"/>
                                </w:pPr>
                              </w:p>
                            </w:txbxContent>
                          </wps:txbx>
                          <wps:bodyPr spcFirstLastPara="1" wrap="square" lIns="91425" tIns="91425" rIns="91425" bIns="91425" anchor="ctr" anchorCtr="0">
                            <a:noAutofit/>
                          </wps:bodyPr>
                        </wps:wsp>
                        <wps:wsp>
                          <wps:cNvPr id="5" name="Isosceles Triangle 5"/>
                          <wps:cNvSpPr/>
                          <wps:spPr>
                            <a:xfrm rot="-5400000" flipH="1">
                              <a:off x="-122521" y="-551440"/>
                              <a:ext cx="1259651" cy="1259651"/>
                            </a:xfrm>
                            <a:prstGeom prst="triangle">
                              <a:avLst>
                                <a:gd name="adj" fmla="val 0"/>
                              </a:avLst>
                            </a:prstGeom>
                            <a:solidFill>
                              <a:srgbClr val="E62A4F">
                                <a:alpha val="0"/>
                              </a:srgbClr>
                            </a:solidFill>
                            <a:ln>
                              <a:noFill/>
                            </a:ln>
                          </wps:spPr>
                          <wps:txbx>
                            <w:txbxContent>
                              <w:p w:rsidR="005F4C24" w:rsidRDefault="005F4C24">
                                <w:pPr>
                                  <w:spacing w:after="0"/>
                                  <w:textDirection w:val="btLr"/>
                                </w:pPr>
                              </w:p>
                            </w:txbxContent>
                          </wps:txbx>
                          <wps:bodyPr spcFirstLastPara="1" wrap="square" lIns="91425" tIns="91425" rIns="91425" bIns="91425" anchor="ctr" anchorCtr="0">
                            <a:noAutofit/>
                          </wps:bodyPr>
                        </wps:wsp>
                        <wps:wsp>
                          <wps:cNvPr id="6" name="Rectangle 6"/>
                          <wps:cNvSpPr/>
                          <wps:spPr>
                            <a:xfrm rot="2703337">
                              <a:off x="185834" y="-231200"/>
                              <a:ext cx="1001184" cy="229445"/>
                            </a:xfrm>
                            <a:prstGeom prst="rect">
                              <a:avLst/>
                            </a:prstGeom>
                            <a:solidFill>
                              <a:srgbClr val="E62A4F">
                                <a:alpha val="0"/>
                              </a:srgbClr>
                            </a:solidFill>
                            <a:ln>
                              <a:noFill/>
                            </a:ln>
                          </wps:spPr>
                          <wps:txbx>
                            <w:txbxContent>
                              <w:p w:rsidR="005F4C24" w:rsidRDefault="004C2B0D">
                                <w:pPr>
                                  <w:jc w:val="center"/>
                                  <w:textDirection w:val="btLr"/>
                                </w:pPr>
                                <w:r>
                                  <w:rPr>
                                    <w:b/>
                                    <w:color w:val="FFFFFF"/>
                                  </w:rPr>
                                  <w:t>DRAFT</w:t>
                                </w:r>
                              </w:p>
                            </w:txbxContent>
                          </wps:txbx>
                          <wps:bodyPr spcFirstLastPara="1" wrap="square" lIns="91425" tIns="45700" rIns="91425" bIns="45700" anchor="t" anchorCtr="0">
                            <a:noAutofit/>
                          </wps:bodyPr>
                        </wps:wsp>
                      </wpg:grpSp>
                    </wpg:grpSp>
                  </wpg:wgp>
                </a:graphicData>
              </a:graphic>
            </wp:anchor>
          </w:drawing>
        </mc:Choice>
        <mc:Fallback>
          <w:pict>
            <v:group id="Group 56" o:spid="_x0000_s1026" style="position:absolute;margin-left:495.4pt;margin-top:-4.65pt;width:99.2pt;height:104.35pt;z-index:251658240;mso-position-horizontal-relative:page;mso-position-vertical-relative:page" coordorigin="47160,31172" coordsize="12598,13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">
              <v:group id="Group 1" o:spid="_x0000_s1027" style="position:absolute;left:47160;top:31172;width:12599;height:13255" coordorigin="47160,31172" coordsize="12598,1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47160;top:31172;width:12599;height:13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rsidR="005F4C24" w:rsidRDefault="005F4C24">
                        <w:pPr>
                          <w:spacing w:after="0"/>
                          <w:textDirection w:val="btLr"/>
                        </w:pPr>
                      </w:p>
                    </w:txbxContent>
                  </v:textbox>
                </v:rect>
                <v:group id="Group 3" o:spid="_x0000_s1029" style="position:absolute;left:47160;top:31172;width:12599;height:13255" coordorigin="-1225,-6170" coordsize="12596,13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0" style="position:absolute;left:-1225;top:-6170;width:12596;height:13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rsidR="005F4C24" w:rsidRDefault="005F4C24">
                          <w:pPr>
                            <w:spacing w:after="0"/>
                            <w:textDirection w:val="btLr"/>
                          </w:pPr>
                        </w:p>
                      </w:txbxContent>
                    </v:textbox>
                  </v:re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31"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" adj="0" fillcolor="#e62a4f" stroked="f">
                    <v:fill opacity="0"/>
                    <v:textbox inset="2.53958mm,2.53958mm,2.53958mm,2.53958mm">
                      <w:txbxContent>
                        <w:p w:rsidR="005F4C24" w:rsidRDefault="005F4C24">
                          <w:pPr>
                            <w:spacing w:after="0"/>
                            <w:textDirection w:val="btLr"/>
                          </w:pPr>
                        </w:p>
                      </w:txbxContent>
                    </v:textbox>
                  </v:shape>
                  <v:rect id="Rectangle 6" o:spid="_x0000_s103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" fillcolor="#e62a4f" stroked="f">
                    <v:fill opacity="0"/>
                    <v:textbox inset="2.53958mm,1.2694mm,2.53958mm,1.2694mm">
                      <w:txbxContent>
                        <w:p w:rsidR="005F4C24" w:rsidRDefault="004C2B0D">
                          <w:pPr>
                            <w:jc w:val="center"/>
                            <w:textDirection w:val="btLr"/>
                          </w:pPr>
                          <w:r>
                            <w:rPr>
                              <w:b/>
                              <w:color w:val="FFFFFF"/>
                            </w:rPr>
                            <w:t>DRAFT</w:t>
                          </w:r>
                        </w:p>
                      </w:txbxContent>
                    </v:textbox>
                  </v:rect>
                </v:group>
              </v:group>
              <w10:wrap anchorx="page" anchory="page"/>
            </v:group>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pBdr>
        <w:top w:val="nil"/>
        <w:left w:val="nil"/>
        <w:bottom w:val="nil"/>
        <w:right w:val="nil"/>
        <w:between w:val="nil"/>
      </w:pBdr>
      <w:tabs>
        <w:tab w:val="center" w:pos="4513"/>
        <w:tab w:val="right" w:pos="9026"/>
      </w:tabs>
      <w:spacing w:after="0"/>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pBdr>
        <w:top w:val="nil"/>
        <w:left w:val="nil"/>
        <w:bottom w:val="nil"/>
        <w:right w:val="nil"/>
        <w:between w:val="nil"/>
      </w:pBdr>
      <w:tabs>
        <w:tab w:val="center" w:pos="4513"/>
        <w:tab w:val="right" w:pos="9026"/>
      </w:tabs>
      <w:spacing w:after="0"/>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pBdr>
        <w:top w:val="nil"/>
        <w:left w:val="nil"/>
        <w:bottom w:val="nil"/>
        <w:right w:val="nil"/>
        <w:between w:val="nil"/>
      </w:pBdr>
      <w:tabs>
        <w:tab w:val="center" w:pos="4513"/>
        <w:tab w:val="right" w:pos="9026"/>
      </w:tabs>
      <w:spacing w:after="0"/>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4C2B0D">
    <w:pPr>
      <w:pBdr>
        <w:top w:val="nil"/>
        <w:left w:val="nil"/>
        <w:bottom w:val="nil"/>
        <w:right w:val="nil"/>
        <w:between w:val="nil"/>
      </w:pBdr>
      <w:tabs>
        <w:tab w:val="center" w:pos="4513"/>
        <w:tab w:val="right" w:pos="9026"/>
      </w:tabs>
      <w:spacing w:after="0"/>
      <w:rPr>
        <w:color w:val="000000"/>
      </w:rPr>
    </w:pPr>
    <w:r>
      <w:rPr>
        <w:noProof/>
        <w:color w:val="000000"/>
      </w:rPr>
      <mc:AlternateContent>
        <mc:Choice Requires="wpg">
          <w:drawing>
            <wp:anchor distT="0" distB="0" distL="114300" distR="114300" simplePos="0" relativeHeight="251667456" behindDoc="0" locked="0" layoutInCell="1" hidden="0" allowOverlap="1">
              <wp:simplePos x="0" y="0"/>
              <wp:positionH relativeFrom="page">
                <wp:posOffset>6291618</wp:posOffset>
              </wp:positionH>
              <wp:positionV relativeFrom="page">
                <wp:posOffset>-59284</wp:posOffset>
              </wp:positionV>
              <wp:extent cx="1259840" cy="1325479"/>
              <wp:effectExtent l="0" t="0" r="0" b="0"/>
              <wp:wrapNone/>
              <wp:docPr id="50" name="Group 50"/>
              <wp:cNvGraphicFramePr/>
              <a:graphic xmlns:a="http://schemas.openxmlformats.org/drawingml/2006/main">
                <a:graphicData uri="http://schemas.microsoft.com/office/word/2010/wordprocessingGroup">
                  <wpg:wgp>
                    <wpg:cNvGrpSpPr/>
                    <wpg:grpSpPr>
                      <a:xfrm>
                        <a:off x="0" y="0"/>
                        <a:ext cx="1259840" cy="1325479"/>
                        <a:chOff x="4716075" y="3117250"/>
                        <a:chExt cx="1259850" cy="1325500"/>
                      </a:xfrm>
                    </wpg:grpSpPr>
                    <wpg:grpSp>
                      <wpg:cNvPr id="31" name="Group 31"/>
                      <wpg:cNvGrpSpPr/>
                      <wpg:grpSpPr>
                        <a:xfrm>
                          <a:off x="4716080" y="3117261"/>
                          <a:ext cx="1259840" cy="1325479"/>
                          <a:chOff x="4716075" y="3117250"/>
                          <a:chExt cx="1259850" cy="1325500"/>
                        </a:xfrm>
                      </wpg:grpSpPr>
                      <wps:wsp>
                        <wps:cNvPr id="32" name="Rectangle 32"/>
                        <wps:cNvSpPr/>
                        <wps:spPr>
                          <a:xfrm>
                            <a:off x="4716075" y="3117250"/>
                            <a:ext cx="1259850" cy="1325500"/>
                          </a:xfrm>
                          <a:prstGeom prst="rect">
                            <a:avLst/>
                          </a:prstGeom>
                          <a:noFill/>
                          <a:ln>
                            <a:noFill/>
                          </a:ln>
                        </wps:spPr>
                        <wps:txbx>
                          <w:txbxContent>
                            <w:p w:rsidR="005F4C24" w:rsidRDefault="005F4C24">
                              <w:pPr>
                                <w:spacing w:after="0"/>
                                <w:textDirection w:val="btLr"/>
                              </w:pPr>
                            </w:p>
                          </w:txbxContent>
                        </wps:txbx>
                        <wps:bodyPr spcFirstLastPara="1" wrap="square" lIns="91425" tIns="91425" rIns="91425" bIns="91425" anchor="ctr" anchorCtr="0">
                          <a:noAutofit/>
                        </wps:bodyPr>
                      </wps:wsp>
                      <wpg:grpSp>
                        <wpg:cNvPr id="33" name="Group 33"/>
                        <wpg:cNvGrpSpPr/>
                        <wpg:grpSpPr>
                          <a:xfrm>
                            <a:off x="4716080" y="3117261"/>
                            <a:ext cx="1259840" cy="1325479"/>
                            <a:chOff x="-122521" y="-617069"/>
                            <a:chExt cx="1259651" cy="1325280"/>
                          </a:xfrm>
                        </wpg:grpSpPr>
                        <wps:wsp>
                          <wps:cNvPr id="34" name="Rectangle 34"/>
                          <wps:cNvSpPr/>
                          <wps:spPr>
                            <a:xfrm>
                              <a:off x="-122521" y="-617069"/>
                              <a:ext cx="1259650" cy="1325275"/>
                            </a:xfrm>
                            <a:prstGeom prst="rect">
                              <a:avLst/>
                            </a:prstGeom>
                            <a:noFill/>
                            <a:ln>
                              <a:noFill/>
                            </a:ln>
                          </wps:spPr>
                          <wps:txbx>
                            <w:txbxContent>
                              <w:p w:rsidR="005F4C24" w:rsidRDefault="005F4C24">
                                <w:pPr>
                                  <w:spacing w:after="0"/>
                                  <w:textDirection w:val="btLr"/>
                                </w:pPr>
                              </w:p>
                            </w:txbxContent>
                          </wps:txbx>
                          <wps:bodyPr spcFirstLastPara="1" wrap="square" lIns="91425" tIns="91425" rIns="91425" bIns="91425" anchor="ctr" anchorCtr="0">
                            <a:noAutofit/>
                          </wps:bodyPr>
                        </wps:wsp>
                        <wps:wsp>
                          <wps:cNvPr id="35" name="Isosceles Triangle 35"/>
                          <wps:cNvSpPr/>
                          <wps:spPr>
                            <a:xfrm rot="-5400000" flipH="1">
                              <a:off x="-122521" y="-551440"/>
                              <a:ext cx="1259651" cy="1259651"/>
                            </a:xfrm>
                            <a:prstGeom prst="triangle">
                              <a:avLst>
                                <a:gd name="adj" fmla="val 0"/>
                              </a:avLst>
                            </a:prstGeom>
                            <a:solidFill>
                              <a:srgbClr val="E62A4F">
                                <a:alpha val="0"/>
                              </a:srgbClr>
                            </a:solidFill>
                            <a:ln>
                              <a:noFill/>
                            </a:ln>
                          </wps:spPr>
                          <wps:txbx>
                            <w:txbxContent>
                              <w:p w:rsidR="005F4C24" w:rsidRDefault="005F4C24">
                                <w:pPr>
                                  <w:spacing w:after="0"/>
                                  <w:textDirection w:val="btLr"/>
                                </w:pPr>
                              </w:p>
                            </w:txbxContent>
                          </wps:txbx>
                          <wps:bodyPr spcFirstLastPara="1" wrap="square" lIns="91425" tIns="91425" rIns="91425" bIns="91425" anchor="ctr" anchorCtr="0">
                            <a:noAutofit/>
                          </wps:bodyPr>
                        </wps:wsp>
                        <wps:wsp>
                          <wps:cNvPr id="36" name="Rectangle 36"/>
                          <wps:cNvSpPr/>
                          <wps:spPr>
                            <a:xfrm rot="2703337">
                              <a:off x="185834" y="-231200"/>
                              <a:ext cx="1001184" cy="229445"/>
                            </a:xfrm>
                            <a:prstGeom prst="rect">
                              <a:avLst/>
                            </a:prstGeom>
                            <a:solidFill>
                              <a:srgbClr val="E62A4F">
                                <a:alpha val="0"/>
                              </a:srgbClr>
                            </a:solidFill>
                            <a:ln>
                              <a:noFill/>
                            </a:ln>
                          </wps:spPr>
                          <wps:txbx>
                            <w:txbxContent>
                              <w:p w:rsidR="005F4C24" w:rsidRDefault="004C2B0D">
                                <w:pPr>
                                  <w:jc w:val="center"/>
                                  <w:textDirection w:val="btLr"/>
                                </w:pPr>
                                <w:r>
                                  <w:rPr>
                                    <w:b/>
                                    <w:color w:val="FFFFFF"/>
                                  </w:rPr>
                                  <w:t>DRAFT</w:t>
                                </w:r>
                              </w:p>
                            </w:txbxContent>
                          </wps:txbx>
                          <wps:bodyPr spcFirstLastPara="1" wrap="square" lIns="91425" tIns="45700" rIns="91425" bIns="45700" anchor="t" anchorCtr="0">
                            <a:noAutofit/>
                          </wps:bodyPr>
                        </wps:wsp>
                      </wpg:grpSp>
                    </wpg:grpSp>
                  </wpg:wgp>
                </a:graphicData>
              </a:graphic>
            </wp:anchor>
          </w:drawing>
        </mc:Choice>
        <mc:Fallback>
          <w:pict>
            <v:group id="Group 50" o:spid="_x0000_s1065" style="position:absolute;margin-left:495.4pt;margin-top:-4.65pt;width:99.2pt;height:104.35pt;z-index:251667456;mso-position-horizontal-relative:page;mso-position-vertical-relative:page" coordorigin="47160,31172" coordsize="12598,13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">
              <v:group id="Group 31" o:spid="_x0000_s1066" style="position:absolute;left:47160;top:31172;width:12599;height:13255" coordorigin="47160,31172" coordsize="12598,1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Rectangle 32" o:spid="_x0000_s1067" style="position:absolute;left:47160;top:31172;width:12599;height:13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" filled="f" stroked="f">
                  <v:textbox inset="2.53958mm,2.53958mm,2.53958mm,2.53958mm">
                    <w:txbxContent>
                      <w:p w:rsidR="005F4C24" w:rsidRDefault="005F4C24">
                        <w:pPr>
                          <w:spacing w:after="0"/>
                          <w:textDirection w:val="btLr"/>
                        </w:pPr>
                      </w:p>
                    </w:txbxContent>
                  </v:textbox>
                </v:rect>
                <v:group id="Group 33" o:spid="_x0000_s1068" style="position:absolute;left:47160;top:31172;width:12599;height:13255" coordorigin="-1225,-6170" coordsize="12596,13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rect id="Rectangle 34" o:spid="_x0000_s1069" style="position:absolute;left:-1225;top:-6170;width:12596;height:13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" filled="f" stroked="f">
                    <v:textbox inset="2.53958mm,2.53958mm,2.53958mm,2.53958mm">
                      <w:txbxContent>
                        <w:p w:rsidR="005F4C24" w:rsidRDefault="005F4C24">
                          <w:pPr>
                            <w:spacing w:after="0"/>
                            <w:textDirection w:val="btLr"/>
                          </w:pPr>
                        </w:p>
                      </w:txbxContent>
                    </v:textbox>
                  </v:re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5" o:spid="_x0000_s1070"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" adj="0" fillcolor="#e62a4f" stroked="f">
                    <v:fill opacity="0"/>
                    <v:textbox inset="2.53958mm,2.53958mm,2.53958mm,2.53958mm">
                      <w:txbxContent>
                        <w:p w:rsidR="005F4C24" w:rsidRDefault="005F4C24">
                          <w:pPr>
                            <w:spacing w:after="0"/>
                            <w:textDirection w:val="btLr"/>
                          </w:pPr>
                        </w:p>
                      </w:txbxContent>
                    </v:textbox>
                  </v:shape>
                  <v:rect id="Rectangle 36" o:spid="_x0000_s1071"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" fillcolor="#e62a4f" stroked="f">
                    <v:fill opacity="0"/>
                    <v:textbox inset="2.53958mm,1.2694mm,2.53958mm,1.2694mm">
                      <w:txbxContent>
                        <w:p w:rsidR="005F4C24" w:rsidRDefault="004C2B0D">
                          <w:pPr>
                            <w:jc w:val="center"/>
                            <w:textDirection w:val="btLr"/>
                          </w:pPr>
                          <w:r>
                            <w:rPr>
                              <w:b/>
                              <w:color w:val="FFFFFF"/>
                            </w:rPr>
                            <w:t>DRAFT</w:t>
                          </w:r>
                        </w:p>
                      </w:txbxContent>
                    </v:textbox>
                  </v:rect>
                </v:group>
              </v:group>
              <w10:wrap anchorx="page" anchory="page"/>
            </v:group>
          </w:pict>
        </mc:Fallback>
      </mc:AlternateContent>
    </w:r>
    <w:r>
      <w:rPr>
        <w:noProof/>
      </w:rPr>
      <mc:AlternateContent>
        <mc:Choice Requires="wps">
          <w:drawing>
            <wp:anchor distT="0" distB="0" distL="114300" distR="114300" simplePos="0" relativeHeight="251668480" behindDoc="0" locked="0" layoutInCell="1" hidden="0" allowOverlap="1">
              <wp:simplePos x="0" y="0"/>
              <wp:positionH relativeFrom="column">
                <wp:posOffset>-63499</wp:posOffset>
              </wp:positionH>
              <wp:positionV relativeFrom="paragraph">
                <wp:posOffset>-368299</wp:posOffset>
              </wp:positionV>
              <wp:extent cx="654050" cy="31750"/>
              <wp:effectExtent l="0" t="0" r="0" b="0"/>
              <wp:wrapNone/>
              <wp:docPr id="58" name="Rectangle 58"/>
              <wp:cNvGraphicFramePr/>
              <a:graphic xmlns:a="http://schemas.openxmlformats.org/drawingml/2006/main">
                <a:graphicData uri="http://schemas.microsoft.com/office/word/2010/wordprocessingShape">
                  <wps:wsp>
                    <wps:cNvSpPr/>
                    <wps:spPr>
                      <a:xfrm flipH="1">
                        <a:off x="5028500" y="3773650"/>
                        <a:ext cx="635000" cy="12700"/>
                      </a:xfrm>
                      <a:prstGeom prst="rect">
                        <a:avLst/>
                      </a:prstGeom>
                      <a:solidFill>
                        <a:srgbClr val="FFFFFF"/>
                      </a:solidFill>
                      <a:ln>
                        <a:noFill/>
                      </a:ln>
                    </wps:spPr>
                    <wps:txbx>
                      <w:txbxContent>
                        <w:p w:rsidR="005F4C24" w:rsidRDefault="004C2B0D">
                          <w:pPr>
                            <w:spacing w:after="0"/>
                            <w:textDirection w:val="btLr"/>
                          </w:pPr>
                          <w:r>
                            <w:rPr>
                              <w:color w:val="000000"/>
                              <w:sz w:val="16"/>
                            </w:rPr>
                            <w:t>Doc Info</w:t>
                          </w:r>
                        </w:p>
                        <w:p w:rsidR="005F4C24" w:rsidRDefault="004C2B0D">
                          <w:pPr>
                            <w:spacing w:after="0"/>
                            <w:textDirection w:val="btLr"/>
                          </w:pPr>
                          <w:r>
                            <w:rPr>
                              <w:color w:val="000000"/>
                              <w:sz w:val="16"/>
                            </w:rPr>
                            <w:t>Branding: true</w:t>
                          </w:r>
                        </w:p>
                        <w:p w:rsidR="005F4C24" w:rsidRDefault="004C2B0D">
                          <w:pPr>
                            <w:spacing w:after="0"/>
                            <w:textDirection w:val="btLr"/>
                          </w:pPr>
                          <w:proofErr w:type="spellStart"/>
                          <w:r>
                            <w:rPr>
                              <w:color w:val="000000"/>
                              <w:sz w:val="16"/>
                            </w:rPr>
                            <w:t>FirmNameShort</w:t>
                          </w:r>
                          <w:proofErr w:type="spellEnd"/>
                          <w:r>
                            <w:rPr>
                              <w:color w:val="000000"/>
                              <w:sz w:val="16"/>
                            </w:rPr>
                            <w:t>: DLA Piper</w:t>
                          </w:r>
                        </w:p>
                        <w:p w:rsidR="005F4C24" w:rsidRDefault="004C2B0D">
                          <w:pPr>
                            <w:spacing w:after="0"/>
                            <w:textDirection w:val="btLr"/>
                          </w:pPr>
                          <w:proofErr w:type="spellStart"/>
                          <w:r>
                            <w:rPr>
                              <w:color w:val="000000"/>
                              <w:sz w:val="16"/>
                            </w:rPr>
                            <w:t>IncludeAppendix</w:t>
                          </w:r>
                          <w:proofErr w:type="spellEnd"/>
                          <w:r>
                            <w:rPr>
                              <w:color w:val="000000"/>
                              <w:sz w:val="16"/>
                            </w:rPr>
                            <w:t>:</w:t>
                          </w:r>
                          <w:r>
                            <w:rPr>
                              <w:color w:val="000000"/>
                            </w:rPr>
                            <w:t xml:space="preserve"> false</w:t>
                          </w:r>
                        </w:p>
                        <w:p w:rsidR="005F4C24" w:rsidRDefault="004C2B0D">
                          <w:pPr>
                            <w:spacing w:after="0"/>
                            <w:textDirection w:val="btLr"/>
                          </w:pPr>
                          <w:proofErr w:type="spellStart"/>
                          <w:r>
                            <w:rPr>
                              <w:color w:val="000000"/>
                              <w:sz w:val="16"/>
                            </w:rPr>
                            <w:t>IncludeSchedules</w:t>
                          </w:r>
                          <w:proofErr w:type="spellEnd"/>
                          <w:r>
                            <w:rPr>
                              <w:color w:val="000000"/>
                              <w:sz w:val="16"/>
                            </w:rPr>
                            <w:t>: false</w:t>
                          </w:r>
                        </w:p>
                        <w:p w:rsidR="005F4C24" w:rsidRDefault="005F4C24">
                          <w:pPr>
                            <w:spacing w:after="0"/>
                            <w:textDirection w:val="btLr"/>
                          </w:pPr>
                        </w:p>
                        <w:p w:rsidR="005F4C24" w:rsidRDefault="005F4C24">
                          <w:pPr>
                            <w:spacing w:after="0"/>
                            <w:textDirection w:val="btLr"/>
                          </w:pPr>
                        </w:p>
                      </w:txbxContent>
                    </wps:txbx>
                    <wps:bodyPr spcFirstLastPara="1" wrap="square" lIns="91425" tIns="45700" rIns="91425" bIns="45700" anchor="t" anchorCtr="0">
                      <a:noAutofit/>
                    </wps:bodyPr>
                  </wps:wsp>
                </a:graphicData>
              </a:graphic>
            </wp:anchor>
          </w:drawing>
        </mc:Choice>
        <mc:Fallback>
          <w:pict>
            <v:rect id="Rectangle 58" o:spid="_x0000_s1072" style="position:absolute;margin-left:-5pt;margin-top:-29pt;width:51.5pt;height:2.5pt;flip:x;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" stroked="f">
              <v:textbox inset="2.53958mm,1.2694mm,2.53958mm,1.2694mm">
                <w:txbxContent>
                  <w:p w:rsidR="005F4C24" w:rsidRDefault="004C2B0D">
                    <w:pPr>
                      <w:spacing w:after="0"/>
                      <w:textDirection w:val="btLr"/>
                    </w:pPr>
                    <w:r>
                      <w:rPr>
                        <w:color w:val="000000"/>
                        <w:sz w:val="16"/>
                      </w:rPr>
                      <w:t>Doc Info</w:t>
                    </w:r>
                  </w:p>
                  <w:p w:rsidR="005F4C24" w:rsidRDefault="004C2B0D">
                    <w:pPr>
                      <w:spacing w:after="0"/>
                      <w:textDirection w:val="btLr"/>
                    </w:pPr>
                    <w:r>
                      <w:rPr>
                        <w:color w:val="000000"/>
                        <w:sz w:val="16"/>
                      </w:rPr>
                      <w:t>Branding: true</w:t>
                    </w:r>
                  </w:p>
                  <w:p w:rsidR="005F4C24" w:rsidRDefault="004C2B0D">
                    <w:pPr>
                      <w:spacing w:after="0"/>
                      <w:textDirection w:val="btLr"/>
                    </w:pPr>
                    <w:proofErr w:type="spellStart"/>
                    <w:r>
                      <w:rPr>
                        <w:color w:val="000000"/>
                        <w:sz w:val="16"/>
                      </w:rPr>
                      <w:t>FirmNameShort</w:t>
                    </w:r>
                    <w:proofErr w:type="spellEnd"/>
                    <w:r>
                      <w:rPr>
                        <w:color w:val="000000"/>
                        <w:sz w:val="16"/>
                      </w:rPr>
                      <w:t>: DLA Piper</w:t>
                    </w:r>
                  </w:p>
                  <w:p w:rsidR="005F4C24" w:rsidRDefault="004C2B0D">
                    <w:pPr>
                      <w:spacing w:after="0"/>
                      <w:textDirection w:val="btLr"/>
                    </w:pPr>
                    <w:proofErr w:type="spellStart"/>
                    <w:r>
                      <w:rPr>
                        <w:color w:val="000000"/>
                        <w:sz w:val="16"/>
                      </w:rPr>
                      <w:t>IncludeAppendix</w:t>
                    </w:r>
                    <w:proofErr w:type="spellEnd"/>
                    <w:r>
                      <w:rPr>
                        <w:color w:val="000000"/>
                        <w:sz w:val="16"/>
                      </w:rPr>
                      <w:t>:</w:t>
                    </w:r>
                    <w:r>
                      <w:rPr>
                        <w:color w:val="000000"/>
                      </w:rPr>
                      <w:t xml:space="preserve"> false</w:t>
                    </w:r>
                  </w:p>
                  <w:p w:rsidR="005F4C24" w:rsidRDefault="004C2B0D">
                    <w:pPr>
                      <w:spacing w:after="0"/>
                      <w:textDirection w:val="btLr"/>
                    </w:pPr>
                    <w:proofErr w:type="spellStart"/>
                    <w:r>
                      <w:rPr>
                        <w:color w:val="000000"/>
                        <w:sz w:val="16"/>
                      </w:rPr>
                      <w:t>IncludeSchedules</w:t>
                    </w:r>
                    <w:proofErr w:type="spellEnd"/>
                    <w:r>
                      <w:rPr>
                        <w:color w:val="000000"/>
                        <w:sz w:val="16"/>
                      </w:rPr>
                      <w:t>: false</w:t>
                    </w:r>
                  </w:p>
                  <w:p w:rsidR="005F4C24" w:rsidRDefault="005F4C24">
                    <w:pPr>
                      <w:spacing w:after="0"/>
                      <w:textDirection w:val="btLr"/>
                    </w:pPr>
                  </w:p>
                  <w:p w:rsidR="005F4C24" w:rsidRDefault="005F4C24">
                    <w:pPr>
                      <w:spacing w:after="0"/>
                      <w:textDirection w:val="btLr"/>
                    </w:pPr>
                  </w:p>
                </w:txbxContent>
              </v:textbox>
            </v:rect>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pBdr>
        <w:top w:val="nil"/>
        <w:left w:val="nil"/>
        <w:bottom w:val="nil"/>
        <w:right w:val="nil"/>
        <w:between w:val="nil"/>
      </w:pBdr>
      <w:tabs>
        <w:tab w:val="center" w:pos="4513"/>
        <w:tab w:val="right" w:pos="9026"/>
      </w:tabs>
      <w:spacing w:after="0"/>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pBdr>
        <w:top w:val="nil"/>
        <w:left w:val="nil"/>
        <w:bottom w:val="nil"/>
        <w:right w:val="nil"/>
        <w:between w:val="nil"/>
      </w:pBdr>
      <w:tabs>
        <w:tab w:val="center" w:pos="4513"/>
        <w:tab w:val="right" w:pos="9026"/>
      </w:tabs>
      <w:spacing w:after="0"/>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4C2B0D">
    <w:pPr>
      <w:pBdr>
        <w:top w:val="nil"/>
        <w:left w:val="nil"/>
        <w:bottom w:val="nil"/>
        <w:right w:val="nil"/>
        <w:between w:val="nil"/>
      </w:pBdr>
      <w:tabs>
        <w:tab w:val="center" w:pos="4513"/>
        <w:tab w:val="right" w:pos="9026"/>
      </w:tabs>
      <w:spacing w:after="0"/>
      <w:rPr>
        <w:color w:val="000000"/>
      </w:rPr>
    </w:pPr>
    <w:r>
      <w:rPr>
        <w:noProof/>
        <w:color w:val="000000"/>
      </w:rPr>
      <mc:AlternateContent>
        <mc:Choice Requires="wpg">
          <w:drawing>
            <wp:anchor distT="0" distB="0" distL="114300" distR="114300" simplePos="0" relativeHeight="251669504" behindDoc="0" locked="0" layoutInCell="1" hidden="0" allowOverlap="1">
              <wp:simplePos x="0" y="0"/>
              <wp:positionH relativeFrom="page">
                <wp:posOffset>6291618</wp:posOffset>
              </wp:positionH>
              <wp:positionV relativeFrom="page">
                <wp:posOffset>-59284</wp:posOffset>
              </wp:positionV>
              <wp:extent cx="1259840" cy="1325479"/>
              <wp:effectExtent l="0" t="0" r="0" b="0"/>
              <wp:wrapNone/>
              <wp:docPr id="60" name="Group 60"/>
              <wp:cNvGraphicFramePr/>
              <a:graphic xmlns:a="http://schemas.openxmlformats.org/drawingml/2006/main">
                <a:graphicData uri="http://schemas.microsoft.com/office/word/2010/wordprocessingGroup">
                  <wpg:wgp>
                    <wpg:cNvGrpSpPr/>
                    <wpg:grpSpPr>
                      <a:xfrm>
                        <a:off x="0" y="0"/>
                        <a:ext cx="1259840" cy="1325479"/>
                        <a:chOff x="4716075" y="3117250"/>
                        <a:chExt cx="1259850" cy="1325500"/>
                      </a:xfrm>
                    </wpg:grpSpPr>
                    <wpg:grpSp>
                      <wpg:cNvPr id="37" name="Group 37"/>
                      <wpg:cNvGrpSpPr/>
                      <wpg:grpSpPr>
                        <a:xfrm>
                          <a:off x="4716080" y="3117261"/>
                          <a:ext cx="1259840" cy="1325479"/>
                          <a:chOff x="4716075" y="3117250"/>
                          <a:chExt cx="1259850" cy="1325500"/>
                        </a:xfrm>
                      </wpg:grpSpPr>
                      <wps:wsp>
                        <wps:cNvPr id="38" name="Rectangle 38"/>
                        <wps:cNvSpPr/>
                        <wps:spPr>
                          <a:xfrm>
                            <a:off x="4716075" y="3117250"/>
                            <a:ext cx="1259850" cy="1325500"/>
                          </a:xfrm>
                          <a:prstGeom prst="rect">
                            <a:avLst/>
                          </a:prstGeom>
                          <a:noFill/>
                          <a:ln>
                            <a:noFill/>
                          </a:ln>
                        </wps:spPr>
                        <wps:txbx>
                          <w:txbxContent>
                            <w:p w:rsidR="005F4C24" w:rsidRDefault="005F4C24">
                              <w:pPr>
                                <w:spacing w:after="0"/>
                                <w:textDirection w:val="btLr"/>
                              </w:pPr>
                            </w:p>
                          </w:txbxContent>
                        </wps:txbx>
                        <wps:bodyPr spcFirstLastPara="1" wrap="square" lIns="91425" tIns="91425" rIns="91425" bIns="91425" anchor="ctr" anchorCtr="0">
                          <a:noAutofit/>
                        </wps:bodyPr>
                      </wps:wsp>
                      <wpg:grpSp>
                        <wpg:cNvPr id="39" name="Group 39"/>
                        <wpg:cNvGrpSpPr/>
                        <wpg:grpSpPr>
                          <a:xfrm>
                            <a:off x="4716080" y="3117261"/>
                            <a:ext cx="1259840" cy="1325479"/>
                            <a:chOff x="-122521" y="-617069"/>
                            <a:chExt cx="1259651" cy="1325280"/>
                          </a:xfrm>
                        </wpg:grpSpPr>
                        <wps:wsp>
                          <wps:cNvPr id="40" name="Rectangle 40"/>
                          <wps:cNvSpPr/>
                          <wps:spPr>
                            <a:xfrm>
                              <a:off x="-122521" y="-617069"/>
                              <a:ext cx="1259650" cy="1325275"/>
                            </a:xfrm>
                            <a:prstGeom prst="rect">
                              <a:avLst/>
                            </a:prstGeom>
                            <a:noFill/>
                            <a:ln>
                              <a:noFill/>
                            </a:ln>
                          </wps:spPr>
                          <wps:txbx>
                            <w:txbxContent>
                              <w:p w:rsidR="005F4C24" w:rsidRDefault="005F4C24">
                                <w:pPr>
                                  <w:spacing w:after="0"/>
                                  <w:textDirection w:val="btLr"/>
                                </w:pPr>
                              </w:p>
                            </w:txbxContent>
                          </wps:txbx>
                          <wps:bodyPr spcFirstLastPara="1" wrap="square" lIns="91425" tIns="91425" rIns="91425" bIns="91425" anchor="ctr" anchorCtr="0">
                            <a:noAutofit/>
                          </wps:bodyPr>
                        </wps:wsp>
                        <wps:wsp>
                          <wps:cNvPr id="41" name="Isosceles Triangle 41"/>
                          <wps:cNvSpPr/>
                          <wps:spPr>
                            <a:xfrm rot="-5400000" flipH="1">
                              <a:off x="-122521" y="-551440"/>
                              <a:ext cx="1259651" cy="1259651"/>
                            </a:xfrm>
                            <a:prstGeom prst="triangle">
                              <a:avLst>
                                <a:gd name="adj" fmla="val 0"/>
                              </a:avLst>
                            </a:prstGeom>
                            <a:solidFill>
                              <a:srgbClr val="E62A4F">
                                <a:alpha val="0"/>
                              </a:srgbClr>
                            </a:solidFill>
                            <a:ln>
                              <a:noFill/>
                            </a:ln>
                          </wps:spPr>
                          <wps:txbx>
                            <w:txbxContent>
                              <w:p w:rsidR="005F4C24" w:rsidRDefault="005F4C24">
                                <w:pPr>
                                  <w:spacing w:after="0"/>
                                  <w:textDirection w:val="btLr"/>
                                </w:pPr>
                              </w:p>
                            </w:txbxContent>
                          </wps:txbx>
                          <wps:bodyPr spcFirstLastPara="1" wrap="square" lIns="91425" tIns="91425" rIns="91425" bIns="91425" anchor="ctr" anchorCtr="0">
                            <a:noAutofit/>
                          </wps:bodyPr>
                        </wps:wsp>
                        <wps:wsp>
                          <wps:cNvPr id="42" name="Rectangle 42"/>
                          <wps:cNvSpPr/>
                          <wps:spPr>
                            <a:xfrm rot="2703337">
                              <a:off x="185834" y="-231200"/>
                              <a:ext cx="1001184" cy="229445"/>
                            </a:xfrm>
                            <a:prstGeom prst="rect">
                              <a:avLst/>
                            </a:prstGeom>
                            <a:solidFill>
                              <a:srgbClr val="E62A4F">
                                <a:alpha val="0"/>
                              </a:srgbClr>
                            </a:solidFill>
                            <a:ln>
                              <a:noFill/>
                            </a:ln>
                          </wps:spPr>
                          <wps:txbx>
                            <w:txbxContent>
                              <w:p w:rsidR="005F4C24" w:rsidRDefault="004C2B0D">
                                <w:pPr>
                                  <w:jc w:val="center"/>
                                  <w:textDirection w:val="btLr"/>
                                </w:pPr>
                                <w:r>
                                  <w:rPr>
                                    <w:b/>
                                    <w:color w:val="FFFFFF"/>
                                  </w:rPr>
                                  <w:t>DRAFT</w:t>
                                </w:r>
                              </w:p>
                            </w:txbxContent>
                          </wps:txbx>
                          <wps:bodyPr spcFirstLastPara="1" wrap="square" lIns="91425" tIns="45700" rIns="91425" bIns="45700" anchor="t" anchorCtr="0">
                            <a:noAutofit/>
                          </wps:bodyPr>
                        </wps:wsp>
                      </wpg:grpSp>
                    </wpg:grpSp>
                  </wpg:wgp>
                </a:graphicData>
              </a:graphic>
            </wp:anchor>
          </w:drawing>
        </mc:Choice>
        <mc:Fallback>
          <w:pict>
            <v:group id="Group 60" o:spid="_x0000_s1073" style="position:absolute;margin-left:495.4pt;margin-top:-4.65pt;width:99.2pt;height:104.35pt;z-index:251669504;mso-position-horizontal-relative:page;mso-position-vertical-relative:page" coordorigin="47160,31172" coordsize="12598,13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">
              <v:group id="Group 37" o:spid="_x0000_s1074" style="position:absolute;left:47160;top:31172;width:12599;height:13255" coordorigin="47160,31172" coordsize="12598,1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rect id="Rectangle 38" o:spid="_x0000_s1075" style="position:absolute;left:47160;top:31172;width:12599;height:13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" filled="f" stroked="f">
                  <v:textbox inset="2.53958mm,2.53958mm,2.53958mm,2.53958mm">
                    <w:txbxContent>
                      <w:p w:rsidR="005F4C24" w:rsidRDefault="005F4C24">
                        <w:pPr>
                          <w:spacing w:after="0"/>
                          <w:textDirection w:val="btLr"/>
                        </w:pPr>
                      </w:p>
                    </w:txbxContent>
                  </v:textbox>
                </v:rect>
                <v:group id="Group 39" o:spid="_x0000_s1076" style="position:absolute;left:47160;top:31172;width:12599;height:13255" coordorigin="-1225,-6170" coordsize="12596,13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0" o:spid="_x0000_s1077" style="position:absolute;left:-1225;top:-6170;width:12596;height:13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" filled="f" stroked="f">
                    <v:textbox inset="2.53958mm,2.53958mm,2.53958mm,2.53958mm">
                      <w:txbxContent>
                        <w:p w:rsidR="005F4C24" w:rsidRDefault="005F4C24">
                          <w:pPr>
                            <w:spacing w:after="0"/>
                            <w:textDirection w:val="btLr"/>
                          </w:pPr>
                        </w:p>
                      </w:txbxContent>
                    </v:textbox>
                  </v:re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41" o:spid="_x0000_s1078"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" adj="0" fillcolor="#e62a4f" stroked="f">
                    <v:fill opacity="0"/>
                    <v:textbox inset="2.53958mm,2.53958mm,2.53958mm,2.53958mm">
                      <w:txbxContent>
                        <w:p w:rsidR="005F4C24" w:rsidRDefault="005F4C24">
                          <w:pPr>
                            <w:spacing w:after="0"/>
                            <w:textDirection w:val="btLr"/>
                          </w:pPr>
                        </w:p>
                      </w:txbxContent>
                    </v:textbox>
                  </v:shape>
                  <v:rect id="Rectangle 42" o:spid="_x0000_s1079"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" fillcolor="#e62a4f" stroked="f">
                    <v:fill opacity="0"/>
                    <v:textbox inset="2.53958mm,1.2694mm,2.53958mm,1.2694mm">
                      <w:txbxContent>
                        <w:p w:rsidR="005F4C24" w:rsidRDefault="004C2B0D">
                          <w:pPr>
                            <w:jc w:val="center"/>
                            <w:textDirection w:val="btLr"/>
                          </w:pPr>
                          <w:r>
                            <w:rPr>
                              <w:b/>
                              <w:color w:val="FFFFFF"/>
                            </w:rPr>
                            <w:t>DRAFT</w:t>
                          </w:r>
                        </w:p>
                      </w:txbxContent>
                    </v:textbox>
                  </v:rect>
                </v:group>
              </v:group>
              <w10:wrap anchorx="page" anchory="page"/>
            </v:group>
          </w:pict>
        </mc:Fallback>
      </mc:AlternateContent>
    </w:r>
    <w:r>
      <w:rPr>
        <w:noProof/>
      </w:rPr>
      <mc:AlternateContent>
        <mc:Choice Requires="wps">
          <w:drawing>
            <wp:anchor distT="0" distB="0" distL="114300" distR="114300" simplePos="0" relativeHeight="251670528" behindDoc="0" locked="0" layoutInCell="1" hidden="0" allowOverlap="1">
              <wp:simplePos x="0" y="0"/>
              <wp:positionH relativeFrom="column">
                <wp:posOffset>-63499</wp:posOffset>
              </wp:positionH>
              <wp:positionV relativeFrom="paragraph">
                <wp:posOffset>-368299</wp:posOffset>
              </wp:positionV>
              <wp:extent cx="654050" cy="31750"/>
              <wp:effectExtent l="0" t="0" r="0" b="0"/>
              <wp:wrapNone/>
              <wp:docPr id="51" name="Rectangle 51"/>
              <wp:cNvGraphicFramePr/>
              <a:graphic xmlns:a="http://schemas.openxmlformats.org/drawingml/2006/main">
                <a:graphicData uri="http://schemas.microsoft.com/office/word/2010/wordprocessingShape">
                  <wps:wsp>
                    <wps:cNvSpPr/>
                    <wps:spPr>
                      <a:xfrm flipH="1">
                        <a:off x="5028500" y="3773650"/>
                        <a:ext cx="635000" cy="12700"/>
                      </a:xfrm>
                      <a:prstGeom prst="rect">
                        <a:avLst/>
                      </a:prstGeom>
                      <a:solidFill>
                        <a:srgbClr val="FFFFFF"/>
                      </a:solidFill>
                      <a:ln>
                        <a:noFill/>
                      </a:ln>
                    </wps:spPr>
                    <wps:txbx>
                      <w:txbxContent>
                        <w:p w:rsidR="005F4C24" w:rsidRDefault="004C2B0D">
                          <w:pPr>
                            <w:spacing w:after="0"/>
                            <w:textDirection w:val="btLr"/>
                          </w:pPr>
                          <w:r>
                            <w:rPr>
                              <w:color w:val="000000"/>
                              <w:sz w:val="16"/>
                            </w:rPr>
                            <w:t>Doc Info</w:t>
                          </w:r>
                        </w:p>
                        <w:p w:rsidR="005F4C24" w:rsidRDefault="004C2B0D">
                          <w:pPr>
                            <w:spacing w:after="0"/>
                            <w:textDirection w:val="btLr"/>
                          </w:pPr>
                          <w:r>
                            <w:rPr>
                              <w:color w:val="000000"/>
                              <w:sz w:val="16"/>
                            </w:rPr>
                            <w:t>Branding: true</w:t>
                          </w:r>
                        </w:p>
                        <w:p w:rsidR="005F4C24" w:rsidRDefault="004C2B0D">
                          <w:pPr>
                            <w:spacing w:after="0"/>
                            <w:textDirection w:val="btLr"/>
                          </w:pPr>
                          <w:proofErr w:type="spellStart"/>
                          <w:r>
                            <w:rPr>
                              <w:color w:val="000000"/>
                              <w:sz w:val="16"/>
                            </w:rPr>
                            <w:t>FirmNameShort</w:t>
                          </w:r>
                          <w:proofErr w:type="spellEnd"/>
                          <w:r>
                            <w:rPr>
                              <w:color w:val="000000"/>
                              <w:sz w:val="16"/>
                            </w:rPr>
                            <w:t>: DLA Piper</w:t>
                          </w:r>
                        </w:p>
                        <w:p w:rsidR="005F4C24" w:rsidRDefault="004C2B0D">
                          <w:pPr>
                            <w:spacing w:after="0"/>
                            <w:textDirection w:val="btLr"/>
                          </w:pPr>
                          <w:proofErr w:type="spellStart"/>
                          <w:r>
                            <w:rPr>
                              <w:color w:val="000000"/>
                              <w:sz w:val="16"/>
                            </w:rPr>
                            <w:t>IncludeAppendix</w:t>
                          </w:r>
                          <w:proofErr w:type="spellEnd"/>
                          <w:r>
                            <w:rPr>
                              <w:color w:val="000000"/>
                              <w:sz w:val="16"/>
                            </w:rPr>
                            <w:t>:</w:t>
                          </w:r>
                          <w:r>
                            <w:rPr>
                              <w:color w:val="000000"/>
                            </w:rPr>
                            <w:t xml:space="preserve"> false</w:t>
                          </w:r>
                        </w:p>
                        <w:p w:rsidR="005F4C24" w:rsidRDefault="004C2B0D">
                          <w:pPr>
                            <w:spacing w:after="0"/>
                            <w:textDirection w:val="btLr"/>
                          </w:pPr>
                          <w:proofErr w:type="spellStart"/>
                          <w:r>
                            <w:rPr>
                              <w:color w:val="000000"/>
                              <w:sz w:val="16"/>
                            </w:rPr>
                            <w:t>IncludeSchedules</w:t>
                          </w:r>
                          <w:proofErr w:type="spellEnd"/>
                          <w:r>
                            <w:rPr>
                              <w:color w:val="000000"/>
                              <w:sz w:val="16"/>
                            </w:rPr>
                            <w:t>: false</w:t>
                          </w:r>
                        </w:p>
                        <w:p w:rsidR="005F4C24" w:rsidRDefault="005F4C24">
                          <w:pPr>
                            <w:spacing w:after="0"/>
                            <w:textDirection w:val="btLr"/>
                          </w:pPr>
                        </w:p>
                        <w:p w:rsidR="005F4C24" w:rsidRDefault="005F4C24">
                          <w:pPr>
                            <w:spacing w:after="0"/>
                            <w:textDirection w:val="btLr"/>
                          </w:pPr>
                        </w:p>
                      </w:txbxContent>
                    </wps:txbx>
                    <wps:bodyPr spcFirstLastPara="1" wrap="square" lIns="91425" tIns="45700" rIns="91425" bIns="45700" anchor="t" anchorCtr="0">
                      <a:noAutofit/>
                    </wps:bodyPr>
                  </wps:wsp>
                </a:graphicData>
              </a:graphic>
            </wp:anchor>
          </w:drawing>
        </mc:Choice>
        <mc:Fallback>
          <w:pict>
            <v:rect id="Rectangle 51" o:spid="_x0000_s1080" style="position:absolute;margin-left:-5pt;margin-top:-29pt;width:51.5pt;height:2.5pt;flip:x;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" stroked="f">
              <v:textbox inset="2.53958mm,1.2694mm,2.53958mm,1.2694mm">
                <w:txbxContent>
                  <w:p w:rsidR="005F4C24" w:rsidRDefault="004C2B0D">
                    <w:pPr>
                      <w:spacing w:after="0"/>
                      <w:textDirection w:val="btLr"/>
                    </w:pPr>
                    <w:r>
                      <w:rPr>
                        <w:color w:val="000000"/>
                        <w:sz w:val="16"/>
                      </w:rPr>
                      <w:t>Doc Info</w:t>
                    </w:r>
                  </w:p>
                  <w:p w:rsidR="005F4C24" w:rsidRDefault="004C2B0D">
                    <w:pPr>
                      <w:spacing w:after="0"/>
                      <w:textDirection w:val="btLr"/>
                    </w:pPr>
                    <w:r>
                      <w:rPr>
                        <w:color w:val="000000"/>
                        <w:sz w:val="16"/>
                      </w:rPr>
                      <w:t>Branding: true</w:t>
                    </w:r>
                  </w:p>
                  <w:p w:rsidR="005F4C24" w:rsidRDefault="004C2B0D">
                    <w:pPr>
                      <w:spacing w:after="0"/>
                      <w:textDirection w:val="btLr"/>
                    </w:pPr>
                    <w:proofErr w:type="spellStart"/>
                    <w:r>
                      <w:rPr>
                        <w:color w:val="000000"/>
                        <w:sz w:val="16"/>
                      </w:rPr>
                      <w:t>FirmNameShort</w:t>
                    </w:r>
                    <w:proofErr w:type="spellEnd"/>
                    <w:r>
                      <w:rPr>
                        <w:color w:val="000000"/>
                        <w:sz w:val="16"/>
                      </w:rPr>
                      <w:t>: DLA Piper</w:t>
                    </w:r>
                  </w:p>
                  <w:p w:rsidR="005F4C24" w:rsidRDefault="004C2B0D">
                    <w:pPr>
                      <w:spacing w:after="0"/>
                      <w:textDirection w:val="btLr"/>
                    </w:pPr>
                    <w:proofErr w:type="spellStart"/>
                    <w:r>
                      <w:rPr>
                        <w:color w:val="000000"/>
                        <w:sz w:val="16"/>
                      </w:rPr>
                      <w:t>IncludeAppendix</w:t>
                    </w:r>
                    <w:proofErr w:type="spellEnd"/>
                    <w:r>
                      <w:rPr>
                        <w:color w:val="000000"/>
                        <w:sz w:val="16"/>
                      </w:rPr>
                      <w:t>:</w:t>
                    </w:r>
                    <w:r>
                      <w:rPr>
                        <w:color w:val="000000"/>
                      </w:rPr>
                      <w:t xml:space="preserve"> false</w:t>
                    </w:r>
                  </w:p>
                  <w:p w:rsidR="005F4C24" w:rsidRDefault="004C2B0D">
                    <w:pPr>
                      <w:spacing w:after="0"/>
                      <w:textDirection w:val="btLr"/>
                    </w:pPr>
                    <w:proofErr w:type="spellStart"/>
                    <w:r>
                      <w:rPr>
                        <w:color w:val="000000"/>
                        <w:sz w:val="16"/>
                      </w:rPr>
                      <w:t>IncludeSchedules</w:t>
                    </w:r>
                    <w:proofErr w:type="spellEnd"/>
                    <w:r>
                      <w:rPr>
                        <w:color w:val="000000"/>
                        <w:sz w:val="16"/>
                      </w:rPr>
                      <w:t>: false</w:t>
                    </w:r>
                  </w:p>
                  <w:p w:rsidR="005F4C24" w:rsidRDefault="005F4C24">
                    <w:pPr>
                      <w:spacing w:after="0"/>
                      <w:textDirection w:val="btLr"/>
                    </w:pPr>
                  </w:p>
                  <w:p w:rsidR="005F4C24" w:rsidRDefault="005F4C24">
                    <w:pPr>
                      <w:spacing w:after="0"/>
                      <w:textDirection w:val="btLr"/>
                    </w:pPr>
                  </w:p>
                </w:txbxContent>
              </v:textbox>
            </v:rect>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pBdr>
        <w:top w:val="nil"/>
        <w:left w:val="nil"/>
        <w:bottom w:val="nil"/>
        <w:right w:val="nil"/>
        <w:between w:val="nil"/>
      </w:pBdr>
      <w:tabs>
        <w:tab w:val="center" w:pos="4513"/>
        <w:tab w:val="right" w:pos="9026"/>
      </w:tabs>
      <w:spacing w:after="0"/>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pBdr>
        <w:top w:val="nil"/>
        <w:left w:val="nil"/>
        <w:bottom w:val="nil"/>
        <w:right w:val="nil"/>
        <w:between w:val="nil"/>
      </w:pBdr>
      <w:tabs>
        <w:tab w:val="center" w:pos="4513"/>
        <w:tab w:val="right" w:pos="9026"/>
      </w:tabs>
      <w:spacing w:after="0"/>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4C2B0D">
    <w:pPr>
      <w:pBdr>
        <w:top w:val="nil"/>
        <w:left w:val="nil"/>
        <w:bottom w:val="nil"/>
        <w:right w:val="nil"/>
        <w:between w:val="nil"/>
      </w:pBdr>
      <w:tabs>
        <w:tab w:val="center" w:pos="4513"/>
        <w:tab w:val="right" w:pos="9026"/>
      </w:tabs>
      <w:spacing w:after="0"/>
      <w:rPr>
        <w:color w:val="000000"/>
      </w:rPr>
    </w:pPr>
    <w:r>
      <w:rPr>
        <w:noProof/>
        <w:color w:val="000000"/>
      </w:rPr>
      <mc:AlternateContent>
        <mc:Choice Requires="wpg">
          <w:drawing>
            <wp:anchor distT="0" distB="0" distL="114300" distR="114300" simplePos="0" relativeHeight="251671552" behindDoc="0" locked="0" layoutInCell="1" hidden="0" allowOverlap="1">
              <wp:simplePos x="0" y="0"/>
              <wp:positionH relativeFrom="page">
                <wp:posOffset>6291618</wp:posOffset>
              </wp:positionH>
              <wp:positionV relativeFrom="page">
                <wp:posOffset>-59284</wp:posOffset>
              </wp:positionV>
              <wp:extent cx="1259840" cy="1325479"/>
              <wp:effectExtent l="0" t="0" r="0" b="0"/>
              <wp:wrapNone/>
              <wp:docPr id="66" name="Group 66"/>
              <wp:cNvGraphicFramePr/>
              <a:graphic xmlns:a="http://schemas.openxmlformats.org/drawingml/2006/main">
                <a:graphicData uri="http://schemas.microsoft.com/office/word/2010/wordprocessingGroup">
                  <wpg:wgp>
                    <wpg:cNvGrpSpPr/>
                    <wpg:grpSpPr>
                      <a:xfrm>
                        <a:off x="0" y="0"/>
                        <a:ext cx="1259840" cy="1325479"/>
                        <a:chOff x="4716075" y="3117250"/>
                        <a:chExt cx="1259850" cy="1325500"/>
                      </a:xfrm>
                    </wpg:grpSpPr>
                    <wpg:grpSp>
                      <wpg:cNvPr id="43" name="Group 43"/>
                      <wpg:cNvGrpSpPr/>
                      <wpg:grpSpPr>
                        <a:xfrm>
                          <a:off x="4716080" y="3117261"/>
                          <a:ext cx="1259840" cy="1325479"/>
                          <a:chOff x="4716075" y="3117250"/>
                          <a:chExt cx="1259850" cy="1325500"/>
                        </a:xfrm>
                      </wpg:grpSpPr>
                      <wps:wsp>
                        <wps:cNvPr id="44" name="Rectangle 44"/>
                        <wps:cNvSpPr/>
                        <wps:spPr>
                          <a:xfrm>
                            <a:off x="4716075" y="3117250"/>
                            <a:ext cx="1259850" cy="1325500"/>
                          </a:xfrm>
                          <a:prstGeom prst="rect">
                            <a:avLst/>
                          </a:prstGeom>
                          <a:noFill/>
                          <a:ln>
                            <a:noFill/>
                          </a:ln>
                        </wps:spPr>
                        <wps:txbx>
                          <w:txbxContent>
                            <w:p w:rsidR="005F4C24" w:rsidRDefault="005F4C24">
                              <w:pPr>
                                <w:spacing w:after="0"/>
                                <w:textDirection w:val="btLr"/>
                              </w:pPr>
                            </w:p>
                          </w:txbxContent>
                        </wps:txbx>
                        <wps:bodyPr spcFirstLastPara="1" wrap="square" lIns="91425" tIns="91425" rIns="91425" bIns="91425" anchor="ctr" anchorCtr="0">
                          <a:noAutofit/>
                        </wps:bodyPr>
                      </wps:wsp>
                      <wpg:grpSp>
                        <wpg:cNvPr id="45" name="Group 45"/>
                        <wpg:cNvGrpSpPr/>
                        <wpg:grpSpPr>
                          <a:xfrm>
                            <a:off x="4716080" y="3117261"/>
                            <a:ext cx="1259840" cy="1325479"/>
                            <a:chOff x="-122521" y="-617069"/>
                            <a:chExt cx="1259651" cy="1325280"/>
                          </a:xfrm>
                        </wpg:grpSpPr>
                        <wps:wsp>
                          <wps:cNvPr id="46" name="Rectangle 46"/>
                          <wps:cNvSpPr/>
                          <wps:spPr>
                            <a:xfrm>
                              <a:off x="-122521" y="-617069"/>
                              <a:ext cx="1259650" cy="1325275"/>
                            </a:xfrm>
                            <a:prstGeom prst="rect">
                              <a:avLst/>
                            </a:prstGeom>
                            <a:noFill/>
                            <a:ln>
                              <a:noFill/>
                            </a:ln>
                          </wps:spPr>
                          <wps:txbx>
                            <w:txbxContent>
                              <w:p w:rsidR="005F4C24" w:rsidRDefault="005F4C24">
                                <w:pPr>
                                  <w:spacing w:after="0"/>
                                  <w:textDirection w:val="btLr"/>
                                </w:pPr>
                              </w:p>
                            </w:txbxContent>
                          </wps:txbx>
                          <wps:bodyPr spcFirstLastPara="1" wrap="square" lIns="91425" tIns="91425" rIns="91425" bIns="91425" anchor="ctr" anchorCtr="0">
                            <a:noAutofit/>
                          </wps:bodyPr>
                        </wps:wsp>
                        <wps:wsp>
                          <wps:cNvPr id="47" name="Isosceles Triangle 47"/>
                          <wps:cNvSpPr/>
                          <wps:spPr>
                            <a:xfrm rot="-5400000" flipH="1">
                              <a:off x="-122521" y="-551440"/>
                              <a:ext cx="1259651" cy="1259651"/>
                            </a:xfrm>
                            <a:prstGeom prst="triangle">
                              <a:avLst>
                                <a:gd name="adj" fmla="val 0"/>
                              </a:avLst>
                            </a:prstGeom>
                            <a:solidFill>
                              <a:srgbClr val="E62A4F">
                                <a:alpha val="0"/>
                              </a:srgbClr>
                            </a:solidFill>
                            <a:ln>
                              <a:noFill/>
                            </a:ln>
                          </wps:spPr>
                          <wps:txbx>
                            <w:txbxContent>
                              <w:p w:rsidR="005F4C24" w:rsidRDefault="005F4C24">
                                <w:pPr>
                                  <w:spacing w:after="0"/>
                                  <w:textDirection w:val="btLr"/>
                                </w:pPr>
                              </w:p>
                            </w:txbxContent>
                          </wps:txbx>
                          <wps:bodyPr spcFirstLastPara="1" wrap="square" lIns="91425" tIns="91425" rIns="91425" bIns="91425" anchor="ctr" anchorCtr="0">
                            <a:noAutofit/>
                          </wps:bodyPr>
                        </wps:wsp>
                        <wps:wsp>
                          <wps:cNvPr id="48" name="Rectangle 48"/>
                          <wps:cNvSpPr/>
                          <wps:spPr>
                            <a:xfrm rot="2703337">
                              <a:off x="185834" y="-231200"/>
                              <a:ext cx="1001184" cy="229445"/>
                            </a:xfrm>
                            <a:prstGeom prst="rect">
                              <a:avLst/>
                            </a:prstGeom>
                            <a:solidFill>
                              <a:srgbClr val="E62A4F">
                                <a:alpha val="0"/>
                              </a:srgbClr>
                            </a:solidFill>
                            <a:ln>
                              <a:noFill/>
                            </a:ln>
                          </wps:spPr>
                          <wps:txbx>
                            <w:txbxContent>
                              <w:p w:rsidR="005F4C24" w:rsidRDefault="004C2B0D">
                                <w:pPr>
                                  <w:jc w:val="center"/>
                                  <w:textDirection w:val="btLr"/>
                                </w:pPr>
                                <w:r>
                                  <w:rPr>
                                    <w:b/>
                                    <w:color w:val="FFFFFF"/>
                                  </w:rPr>
                                  <w:t>DRAFT</w:t>
                                </w:r>
                              </w:p>
                            </w:txbxContent>
                          </wps:txbx>
                          <wps:bodyPr spcFirstLastPara="1" wrap="square" lIns="91425" tIns="45700" rIns="91425" bIns="45700" anchor="t" anchorCtr="0">
                            <a:noAutofit/>
                          </wps:bodyPr>
                        </wps:wsp>
                      </wpg:grpSp>
                    </wpg:grpSp>
                  </wpg:wgp>
                </a:graphicData>
              </a:graphic>
            </wp:anchor>
          </w:drawing>
        </mc:Choice>
        <mc:Fallback>
          <w:pict>
            <v:group id="Group 66" o:spid="_x0000_s1081" style="position:absolute;margin-left:495.4pt;margin-top:-4.65pt;width:99.2pt;height:104.35pt;z-index:251671552;mso-position-horizontal-relative:page;mso-position-vertical-relative:page" coordorigin="47160,31172" coordsize="12598,13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">
              <v:group id="Group 43" o:spid="_x0000_s1082" style="position:absolute;left:47160;top:31172;width:12599;height:13255" coordorigin="47160,31172" coordsize="12598,1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44" o:spid="_x0000_s1083" style="position:absolute;left:47160;top:31172;width:12599;height:13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" filled="f" stroked="f">
                  <v:textbox inset="2.53958mm,2.53958mm,2.53958mm,2.53958mm">
                    <w:txbxContent>
                      <w:p w:rsidR="005F4C24" w:rsidRDefault="005F4C24">
                        <w:pPr>
                          <w:spacing w:after="0"/>
                          <w:textDirection w:val="btLr"/>
                        </w:pPr>
                      </w:p>
                    </w:txbxContent>
                  </v:textbox>
                </v:rect>
                <v:group id="Group 45" o:spid="_x0000_s1084" style="position:absolute;left:47160;top:31172;width:12599;height:13255" coordorigin="-1225,-6170" coordsize="12596,13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ect id="Rectangle 46" o:spid="_x0000_s1085" style="position:absolute;left:-1225;top:-6170;width:12596;height:13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" filled="f" stroked="f">
                    <v:textbox inset="2.53958mm,2.53958mm,2.53958mm,2.53958mm">
                      <w:txbxContent>
                        <w:p w:rsidR="005F4C24" w:rsidRDefault="005F4C24">
                          <w:pPr>
                            <w:spacing w:after="0"/>
                            <w:textDirection w:val="btLr"/>
                          </w:pPr>
                        </w:p>
                      </w:txbxContent>
                    </v:textbox>
                  </v:re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47" o:spid="_x0000_s1086"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" adj="0" fillcolor="#e62a4f" stroked="f">
                    <v:fill opacity="0"/>
                    <v:textbox inset="2.53958mm,2.53958mm,2.53958mm,2.53958mm">
                      <w:txbxContent>
                        <w:p w:rsidR="005F4C24" w:rsidRDefault="005F4C24">
                          <w:pPr>
                            <w:spacing w:after="0"/>
                            <w:textDirection w:val="btLr"/>
                          </w:pPr>
                        </w:p>
                      </w:txbxContent>
                    </v:textbox>
                  </v:shape>
                  <v:rect id="Rectangle 48" o:spid="_x0000_s1087"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" fillcolor="#e62a4f" stroked="f">
                    <v:fill opacity="0"/>
                    <v:textbox inset="2.53958mm,1.2694mm,2.53958mm,1.2694mm">
                      <w:txbxContent>
                        <w:p w:rsidR="005F4C24" w:rsidRDefault="004C2B0D">
                          <w:pPr>
                            <w:jc w:val="center"/>
                            <w:textDirection w:val="btLr"/>
                          </w:pPr>
                          <w:r>
                            <w:rPr>
                              <w:b/>
                              <w:color w:val="FFFFFF"/>
                            </w:rPr>
                            <w:t>DRAFT</w:t>
                          </w:r>
                        </w:p>
                      </w:txbxContent>
                    </v:textbox>
                  </v:rect>
                </v:group>
              </v:group>
              <w10:wrap anchorx="page" anchory="page"/>
            </v:group>
          </w:pict>
        </mc:Fallback>
      </mc:AlternateContent>
    </w:r>
    <w:r>
      <w:rPr>
        <w:noProof/>
      </w:rPr>
      <mc:AlternateContent>
        <mc:Choice Requires="wps">
          <w:drawing>
            <wp:anchor distT="0" distB="0" distL="114300" distR="114300" simplePos="0" relativeHeight="251672576" behindDoc="0" locked="0" layoutInCell="1" hidden="0" allowOverlap="1">
              <wp:simplePos x="0" y="0"/>
              <wp:positionH relativeFrom="column">
                <wp:posOffset>-63499</wp:posOffset>
              </wp:positionH>
              <wp:positionV relativeFrom="paragraph">
                <wp:posOffset>-368299</wp:posOffset>
              </wp:positionV>
              <wp:extent cx="654050" cy="31750"/>
              <wp:effectExtent l="0" t="0" r="0" b="0"/>
              <wp:wrapNone/>
              <wp:docPr id="65" name="Rectangle 65"/>
              <wp:cNvGraphicFramePr/>
              <a:graphic xmlns:a="http://schemas.openxmlformats.org/drawingml/2006/main">
                <a:graphicData uri="http://schemas.microsoft.com/office/word/2010/wordprocessingShape">
                  <wps:wsp>
                    <wps:cNvSpPr/>
                    <wps:spPr>
                      <a:xfrm flipH="1">
                        <a:off x="5028500" y="3773650"/>
                        <a:ext cx="635000" cy="12700"/>
                      </a:xfrm>
                      <a:prstGeom prst="rect">
                        <a:avLst/>
                      </a:prstGeom>
                      <a:solidFill>
                        <a:srgbClr val="FFFFFF"/>
                      </a:solidFill>
                      <a:ln>
                        <a:noFill/>
                      </a:ln>
                    </wps:spPr>
                    <wps:txbx>
                      <w:txbxContent>
                        <w:p w:rsidR="005F4C24" w:rsidRDefault="004C2B0D">
                          <w:pPr>
                            <w:spacing w:after="0"/>
                            <w:textDirection w:val="btLr"/>
                          </w:pPr>
                          <w:r>
                            <w:rPr>
                              <w:color w:val="000000"/>
                              <w:sz w:val="16"/>
                            </w:rPr>
                            <w:t>Doc Info</w:t>
                          </w:r>
                        </w:p>
                        <w:p w:rsidR="005F4C24" w:rsidRDefault="004C2B0D">
                          <w:pPr>
                            <w:spacing w:after="0"/>
                            <w:textDirection w:val="btLr"/>
                          </w:pPr>
                          <w:r>
                            <w:rPr>
                              <w:color w:val="000000"/>
                              <w:sz w:val="16"/>
                            </w:rPr>
                            <w:t>Branding: true</w:t>
                          </w:r>
                        </w:p>
                        <w:p w:rsidR="005F4C24" w:rsidRDefault="004C2B0D">
                          <w:pPr>
                            <w:spacing w:after="0"/>
                            <w:textDirection w:val="btLr"/>
                          </w:pPr>
                          <w:proofErr w:type="spellStart"/>
                          <w:r>
                            <w:rPr>
                              <w:color w:val="000000"/>
                              <w:sz w:val="16"/>
                            </w:rPr>
                            <w:t>FirmNameShort</w:t>
                          </w:r>
                          <w:proofErr w:type="spellEnd"/>
                          <w:r>
                            <w:rPr>
                              <w:color w:val="000000"/>
                              <w:sz w:val="16"/>
                            </w:rPr>
                            <w:t>: DLA Piper</w:t>
                          </w:r>
                        </w:p>
                        <w:p w:rsidR="005F4C24" w:rsidRDefault="004C2B0D">
                          <w:pPr>
                            <w:spacing w:after="0"/>
                            <w:textDirection w:val="btLr"/>
                          </w:pPr>
                          <w:proofErr w:type="spellStart"/>
                          <w:r>
                            <w:rPr>
                              <w:color w:val="000000"/>
                              <w:sz w:val="16"/>
                            </w:rPr>
                            <w:t>IncludeAppendix</w:t>
                          </w:r>
                          <w:proofErr w:type="spellEnd"/>
                          <w:r>
                            <w:rPr>
                              <w:color w:val="000000"/>
                              <w:sz w:val="16"/>
                            </w:rPr>
                            <w:t>:</w:t>
                          </w:r>
                          <w:r>
                            <w:rPr>
                              <w:color w:val="000000"/>
                            </w:rPr>
                            <w:t xml:space="preserve"> false</w:t>
                          </w:r>
                        </w:p>
                        <w:p w:rsidR="005F4C24" w:rsidRDefault="004C2B0D">
                          <w:pPr>
                            <w:spacing w:after="0"/>
                            <w:textDirection w:val="btLr"/>
                          </w:pPr>
                          <w:proofErr w:type="spellStart"/>
                          <w:r>
                            <w:rPr>
                              <w:color w:val="000000"/>
                              <w:sz w:val="16"/>
                            </w:rPr>
                            <w:t>IncludeSchedules</w:t>
                          </w:r>
                          <w:proofErr w:type="spellEnd"/>
                          <w:r>
                            <w:rPr>
                              <w:color w:val="000000"/>
                              <w:sz w:val="16"/>
                            </w:rPr>
                            <w:t>: false</w:t>
                          </w:r>
                        </w:p>
                        <w:p w:rsidR="005F4C24" w:rsidRDefault="005F4C24">
                          <w:pPr>
                            <w:spacing w:after="0"/>
                            <w:textDirection w:val="btLr"/>
                          </w:pPr>
                        </w:p>
                        <w:p w:rsidR="005F4C24" w:rsidRDefault="005F4C24">
                          <w:pPr>
                            <w:spacing w:after="0"/>
                            <w:textDirection w:val="btLr"/>
                          </w:pPr>
                        </w:p>
                      </w:txbxContent>
                    </wps:txbx>
                    <wps:bodyPr spcFirstLastPara="1" wrap="square" lIns="91425" tIns="45700" rIns="91425" bIns="45700" anchor="t" anchorCtr="0">
                      <a:noAutofit/>
                    </wps:bodyPr>
                  </wps:wsp>
                </a:graphicData>
              </a:graphic>
            </wp:anchor>
          </w:drawing>
        </mc:Choice>
        <mc:Fallback>
          <w:pict>
            <v:rect id="Rectangle 65" o:spid="_x0000_s1088" style="position:absolute;margin-left:-5pt;margin-top:-29pt;width:51.5pt;height:2.5pt;flip:x;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" stroked="f">
              <v:textbox inset="2.53958mm,1.2694mm,2.53958mm,1.2694mm">
                <w:txbxContent>
                  <w:p w:rsidR="005F4C24" w:rsidRDefault="004C2B0D">
                    <w:pPr>
                      <w:spacing w:after="0"/>
                      <w:textDirection w:val="btLr"/>
                    </w:pPr>
                    <w:r>
                      <w:rPr>
                        <w:color w:val="000000"/>
                        <w:sz w:val="16"/>
                      </w:rPr>
                      <w:t>Doc Info</w:t>
                    </w:r>
                  </w:p>
                  <w:p w:rsidR="005F4C24" w:rsidRDefault="004C2B0D">
                    <w:pPr>
                      <w:spacing w:after="0"/>
                      <w:textDirection w:val="btLr"/>
                    </w:pPr>
                    <w:r>
                      <w:rPr>
                        <w:color w:val="000000"/>
                        <w:sz w:val="16"/>
                      </w:rPr>
                      <w:t>Branding: true</w:t>
                    </w:r>
                  </w:p>
                  <w:p w:rsidR="005F4C24" w:rsidRDefault="004C2B0D">
                    <w:pPr>
                      <w:spacing w:after="0"/>
                      <w:textDirection w:val="btLr"/>
                    </w:pPr>
                    <w:proofErr w:type="spellStart"/>
                    <w:r>
                      <w:rPr>
                        <w:color w:val="000000"/>
                        <w:sz w:val="16"/>
                      </w:rPr>
                      <w:t>FirmNameShort</w:t>
                    </w:r>
                    <w:proofErr w:type="spellEnd"/>
                    <w:r>
                      <w:rPr>
                        <w:color w:val="000000"/>
                        <w:sz w:val="16"/>
                      </w:rPr>
                      <w:t>: DLA Piper</w:t>
                    </w:r>
                  </w:p>
                  <w:p w:rsidR="005F4C24" w:rsidRDefault="004C2B0D">
                    <w:pPr>
                      <w:spacing w:after="0"/>
                      <w:textDirection w:val="btLr"/>
                    </w:pPr>
                    <w:proofErr w:type="spellStart"/>
                    <w:r>
                      <w:rPr>
                        <w:color w:val="000000"/>
                        <w:sz w:val="16"/>
                      </w:rPr>
                      <w:t>IncludeAppendix</w:t>
                    </w:r>
                    <w:proofErr w:type="spellEnd"/>
                    <w:r>
                      <w:rPr>
                        <w:color w:val="000000"/>
                        <w:sz w:val="16"/>
                      </w:rPr>
                      <w:t>:</w:t>
                    </w:r>
                    <w:r>
                      <w:rPr>
                        <w:color w:val="000000"/>
                      </w:rPr>
                      <w:t xml:space="preserve"> false</w:t>
                    </w:r>
                  </w:p>
                  <w:p w:rsidR="005F4C24" w:rsidRDefault="004C2B0D">
                    <w:pPr>
                      <w:spacing w:after="0"/>
                      <w:textDirection w:val="btLr"/>
                    </w:pPr>
                    <w:proofErr w:type="spellStart"/>
                    <w:r>
                      <w:rPr>
                        <w:color w:val="000000"/>
                        <w:sz w:val="16"/>
                      </w:rPr>
                      <w:t>IncludeSchedules</w:t>
                    </w:r>
                    <w:proofErr w:type="spellEnd"/>
                    <w:r>
                      <w:rPr>
                        <w:color w:val="000000"/>
                        <w:sz w:val="16"/>
                      </w:rPr>
                      <w:t>: false</w:t>
                    </w:r>
                  </w:p>
                  <w:p w:rsidR="005F4C24" w:rsidRDefault="005F4C24">
                    <w:pPr>
                      <w:spacing w:after="0"/>
                      <w:textDirection w:val="btLr"/>
                    </w:pPr>
                  </w:p>
                  <w:p w:rsidR="005F4C24" w:rsidRDefault="005F4C24">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pBdr>
        <w:top w:val="nil"/>
        <w:left w:val="nil"/>
        <w:bottom w:val="nil"/>
        <w:right w:val="nil"/>
        <w:between w:val="nil"/>
      </w:pBdr>
      <w:tabs>
        <w:tab w:val="center" w:pos="4513"/>
        <w:tab w:val="right" w:pos="9026"/>
      </w:tabs>
      <w:spacing w:after="0"/>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pBdr>
        <w:top w:val="nil"/>
        <w:left w:val="nil"/>
        <w:bottom w:val="nil"/>
        <w:right w:val="nil"/>
        <w:between w:val="nil"/>
      </w:pBdr>
      <w:tabs>
        <w:tab w:val="center" w:pos="4513"/>
        <w:tab w:val="right" w:pos="9026"/>
      </w:tabs>
      <w:spacing w:after="0"/>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pBdr>
        <w:top w:val="nil"/>
        <w:left w:val="nil"/>
        <w:bottom w:val="nil"/>
        <w:right w:val="nil"/>
        <w:between w:val="nil"/>
      </w:pBdr>
      <w:tabs>
        <w:tab w:val="center" w:pos="4513"/>
        <w:tab w:val="right" w:pos="9026"/>
      </w:tabs>
      <w:spacing w:after="0"/>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4C2B0D">
    <w:pPr>
      <w:pBdr>
        <w:top w:val="nil"/>
        <w:left w:val="nil"/>
        <w:bottom w:val="nil"/>
        <w:right w:val="nil"/>
        <w:between w:val="nil"/>
      </w:pBdr>
      <w:tabs>
        <w:tab w:val="center" w:pos="4513"/>
        <w:tab w:val="right" w:pos="9026"/>
      </w:tabs>
      <w:spacing w:after="0"/>
      <w:rPr>
        <w:color w:val="000000"/>
      </w:rPr>
    </w:pPr>
    <w:r>
      <w:rPr>
        <w:noProof/>
        <w:color w:val="000000"/>
      </w:rPr>
      <mc:AlternateContent>
        <mc:Choice Requires="wpg">
          <w:drawing>
            <wp:anchor distT="0" distB="0" distL="114300" distR="114300" simplePos="0" relativeHeight="251673600" behindDoc="0" locked="0" layoutInCell="1" hidden="0" allowOverlap="1">
              <wp:simplePos x="0" y="0"/>
              <wp:positionH relativeFrom="page">
                <wp:posOffset>6291618</wp:posOffset>
              </wp:positionH>
              <wp:positionV relativeFrom="page">
                <wp:posOffset>-59284</wp:posOffset>
              </wp:positionV>
              <wp:extent cx="1259840" cy="1325479"/>
              <wp:effectExtent l="0" t="0" r="0" b="0"/>
              <wp:wrapNone/>
              <wp:docPr id="55" name="Group 55"/>
              <wp:cNvGraphicFramePr/>
              <a:graphic xmlns:a="http://schemas.openxmlformats.org/drawingml/2006/main">
                <a:graphicData uri="http://schemas.microsoft.com/office/word/2010/wordprocessingGroup">
                  <wpg:wgp>
                    <wpg:cNvGrpSpPr/>
                    <wpg:grpSpPr>
                      <a:xfrm>
                        <a:off x="0" y="0"/>
                        <a:ext cx="1259840" cy="1325479"/>
                        <a:chOff x="4716075" y="3117250"/>
                        <a:chExt cx="1259850" cy="1325500"/>
                      </a:xfrm>
                    </wpg:grpSpPr>
                    <wpg:grpSp>
                      <wpg:cNvPr id="49" name="Group 49"/>
                      <wpg:cNvGrpSpPr/>
                      <wpg:grpSpPr>
                        <a:xfrm>
                          <a:off x="4716080" y="3117261"/>
                          <a:ext cx="1259840" cy="1325479"/>
                          <a:chOff x="4716075" y="3117250"/>
                          <a:chExt cx="1259850" cy="1325500"/>
                        </a:xfrm>
                      </wpg:grpSpPr>
                      <wps:wsp>
                        <wps:cNvPr id="54" name="Rectangle 54"/>
                        <wps:cNvSpPr/>
                        <wps:spPr>
                          <a:xfrm>
                            <a:off x="4716075" y="3117250"/>
                            <a:ext cx="1259850" cy="1325500"/>
                          </a:xfrm>
                          <a:prstGeom prst="rect">
                            <a:avLst/>
                          </a:prstGeom>
                          <a:noFill/>
                          <a:ln>
                            <a:noFill/>
                          </a:ln>
                        </wps:spPr>
                        <wps:txbx>
                          <w:txbxContent>
                            <w:p w:rsidR="005F4C24" w:rsidRDefault="005F4C24">
                              <w:pPr>
                                <w:spacing w:after="0"/>
                                <w:textDirection w:val="btLr"/>
                              </w:pPr>
                            </w:p>
                          </w:txbxContent>
                        </wps:txbx>
                        <wps:bodyPr spcFirstLastPara="1" wrap="square" lIns="91425" tIns="91425" rIns="91425" bIns="91425" anchor="ctr" anchorCtr="0">
                          <a:noAutofit/>
                        </wps:bodyPr>
                      </wps:wsp>
                      <wpg:grpSp>
                        <wpg:cNvPr id="68" name="Group 68"/>
                        <wpg:cNvGrpSpPr/>
                        <wpg:grpSpPr>
                          <a:xfrm>
                            <a:off x="4716080" y="3117261"/>
                            <a:ext cx="1259840" cy="1325479"/>
                            <a:chOff x="-122521" y="-617069"/>
                            <a:chExt cx="1259651" cy="1325280"/>
                          </a:xfrm>
                        </wpg:grpSpPr>
                        <wps:wsp>
                          <wps:cNvPr id="69" name="Rectangle 69"/>
                          <wps:cNvSpPr/>
                          <wps:spPr>
                            <a:xfrm>
                              <a:off x="-122521" y="-617069"/>
                              <a:ext cx="1259650" cy="1325275"/>
                            </a:xfrm>
                            <a:prstGeom prst="rect">
                              <a:avLst/>
                            </a:prstGeom>
                            <a:noFill/>
                            <a:ln>
                              <a:noFill/>
                            </a:ln>
                          </wps:spPr>
                          <wps:txbx>
                            <w:txbxContent>
                              <w:p w:rsidR="005F4C24" w:rsidRDefault="005F4C24">
                                <w:pPr>
                                  <w:spacing w:after="0"/>
                                  <w:textDirection w:val="btLr"/>
                                </w:pPr>
                              </w:p>
                            </w:txbxContent>
                          </wps:txbx>
                          <wps:bodyPr spcFirstLastPara="1" wrap="square" lIns="91425" tIns="91425" rIns="91425" bIns="91425" anchor="ctr" anchorCtr="0">
                            <a:noAutofit/>
                          </wps:bodyPr>
                        </wps:wsp>
                        <wps:wsp>
                          <wps:cNvPr id="70" name="Isosceles Triangle 70"/>
                          <wps:cNvSpPr/>
                          <wps:spPr>
                            <a:xfrm rot="-5400000" flipH="1">
                              <a:off x="-122521" y="-551440"/>
                              <a:ext cx="1259651" cy="1259651"/>
                            </a:xfrm>
                            <a:prstGeom prst="triangle">
                              <a:avLst>
                                <a:gd name="adj" fmla="val 0"/>
                              </a:avLst>
                            </a:prstGeom>
                            <a:solidFill>
                              <a:srgbClr val="E62A4F">
                                <a:alpha val="0"/>
                              </a:srgbClr>
                            </a:solidFill>
                            <a:ln>
                              <a:noFill/>
                            </a:ln>
                          </wps:spPr>
                          <wps:txbx>
                            <w:txbxContent>
                              <w:p w:rsidR="005F4C24" w:rsidRDefault="005F4C24">
                                <w:pPr>
                                  <w:spacing w:after="0"/>
                                  <w:textDirection w:val="btLr"/>
                                </w:pPr>
                              </w:p>
                            </w:txbxContent>
                          </wps:txbx>
                          <wps:bodyPr spcFirstLastPara="1" wrap="square" lIns="91425" tIns="91425" rIns="91425" bIns="91425" anchor="ctr" anchorCtr="0">
                            <a:noAutofit/>
                          </wps:bodyPr>
                        </wps:wsp>
                        <wps:wsp>
                          <wps:cNvPr id="71" name="Rectangle 71"/>
                          <wps:cNvSpPr/>
                          <wps:spPr>
                            <a:xfrm rot="2703337">
                              <a:off x="185834" y="-231200"/>
                              <a:ext cx="1001184" cy="229445"/>
                            </a:xfrm>
                            <a:prstGeom prst="rect">
                              <a:avLst/>
                            </a:prstGeom>
                            <a:solidFill>
                              <a:srgbClr val="E62A4F">
                                <a:alpha val="0"/>
                              </a:srgbClr>
                            </a:solidFill>
                            <a:ln>
                              <a:noFill/>
                            </a:ln>
                          </wps:spPr>
                          <wps:txbx>
                            <w:txbxContent>
                              <w:p w:rsidR="005F4C24" w:rsidRDefault="004C2B0D">
                                <w:pPr>
                                  <w:jc w:val="center"/>
                                  <w:textDirection w:val="btLr"/>
                                </w:pPr>
                                <w:r>
                                  <w:rPr>
                                    <w:b/>
                                    <w:color w:val="FFFFFF"/>
                                  </w:rPr>
                                  <w:t>DRAFT</w:t>
                                </w:r>
                              </w:p>
                            </w:txbxContent>
                          </wps:txbx>
                          <wps:bodyPr spcFirstLastPara="1" wrap="square" lIns="91425" tIns="45700" rIns="91425" bIns="45700" anchor="t" anchorCtr="0">
                            <a:noAutofit/>
                          </wps:bodyPr>
                        </wps:wsp>
                      </wpg:grpSp>
                    </wpg:grpSp>
                  </wpg:wgp>
                </a:graphicData>
              </a:graphic>
            </wp:anchor>
          </w:drawing>
        </mc:Choice>
        <mc:Fallback>
          <w:pict>
            <v:group id="Group 55" o:spid="_x0000_s1089" style="position:absolute;margin-left:495.4pt;margin-top:-4.65pt;width:99.2pt;height:104.35pt;z-index:251673600;mso-position-horizontal-relative:page;mso-position-vertical-relative:page" coordorigin="47160,31172" coordsize="12598,13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">
              <v:group id="Group 49" o:spid="_x0000_s1090" style="position:absolute;left:47160;top:31172;width:12599;height:13255" coordorigin="47160,31172" coordsize="12598,1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54" o:spid="_x0000_s1091" style="position:absolute;left:47160;top:31172;width:12599;height:13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" filled="f" stroked="f">
                  <v:textbox inset="2.53958mm,2.53958mm,2.53958mm,2.53958mm">
                    <w:txbxContent>
                      <w:p w:rsidR="005F4C24" w:rsidRDefault="005F4C24">
                        <w:pPr>
                          <w:spacing w:after="0"/>
                          <w:textDirection w:val="btLr"/>
                        </w:pPr>
                      </w:p>
                    </w:txbxContent>
                  </v:textbox>
                </v:rect>
                <v:group id="Group 68" o:spid="_x0000_s1092" style="position:absolute;left:47160;top:31172;width:12599;height:13255" coordorigin="-1225,-6170" coordsize="12596,13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rect id="Rectangle 69" o:spid="_x0000_s1093" style="position:absolute;left:-1225;top:-6170;width:12596;height:13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" filled="f" stroked="f">
                    <v:textbox inset="2.53958mm,2.53958mm,2.53958mm,2.53958mm">
                      <w:txbxContent>
                        <w:p w:rsidR="005F4C24" w:rsidRDefault="005F4C24">
                          <w:pPr>
                            <w:spacing w:after="0"/>
                            <w:textDirection w:val="btLr"/>
                          </w:pPr>
                        </w:p>
                      </w:txbxContent>
                    </v:textbox>
                  </v:re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0" o:spid="_x0000_s1094"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" adj="0" fillcolor="#e62a4f" stroked="f">
                    <v:fill opacity="0"/>
                    <v:textbox inset="2.53958mm,2.53958mm,2.53958mm,2.53958mm">
                      <w:txbxContent>
                        <w:p w:rsidR="005F4C24" w:rsidRDefault="005F4C24">
                          <w:pPr>
                            <w:spacing w:after="0"/>
                            <w:textDirection w:val="btLr"/>
                          </w:pPr>
                        </w:p>
                      </w:txbxContent>
                    </v:textbox>
                  </v:shape>
                  <v:rect id="Rectangle 71" o:spid="_x0000_s1095"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" fillcolor="#e62a4f" stroked="f">
                    <v:fill opacity="0"/>
                    <v:textbox inset="2.53958mm,1.2694mm,2.53958mm,1.2694mm">
                      <w:txbxContent>
                        <w:p w:rsidR="005F4C24" w:rsidRDefault="004C2B0D">
                          <w:pPr>
                            <w:jc w:val="center"/>
                            <w:textDirection w:val="btLr"/>
                          </w:pPr>
                          <w:r>
                            <w:rPr>
                              <w:b/>
                              <w:color w:val="FFFFFF"/>
                            </w:rPr>
                            <w:t>DRAFT</w:t>
                          </w:r>
                        </w:p>
                      </w:txbxContent>
                    </v:textbox>
                  </v:rect>
                </v:group>
              </v:group>
              <w10:wrap anchorx="page" anchory="page"/>
            </v:group>
          </w:pict>
        </mc:Fallback>
      </mc:AlternateContent>
    </w:r>
    <w:r>
      <w:rPr>
        <w:noProof/>
      </w:rPr>
      <mc:AlternateContent>
        <mc:Choice Requires="wps">
          <w:drawing>
            <wp:anchor distT="0" distB="0" distL="114300" distR="114300" simplePos="0" relativeHeight="251674624" behindDoc="0" locked="0" layoutInCell="1" hidden="0" allowOverlap="1">
              <wp:simplePos x="0" y="0"/>
              <wp:positionH relativeFrom="column">
                <wp:posOffset>-63499</wp:posOffset>
              </wp:positionH>
              <wp:positionV relativeFrom="paragraph">
                <wp:posOffset>-368299</wp:posOffset>
              </wp:positionV>
              <wp:extent cx="654050" cy="31750"/>
              <wp:effectExtent l="0" t="0" r="0" b="0"/>
              <wp:wrapNone/>
              <wp:docPr id="72" name="Rectangle 72"/>
              <wp:cNvGraphicFramePr/>
              <a:graphic xmlns:a="http://schemas.openxmlformats.org/drawingml/2006/main">
                <a:graphicData uri="http://schemas.microsoft.com/office/word/2010/wordprocessingShape">
                  <wps:wsp>
                    <wps:cNvSpPr/>
                    <wps:spPr>
                      <a:xfrm flipH="1">
                        <a:off x="5028500" y="3773650"/>
                        <a:ext cx="635000" cy="12700"/>
                      </a:xfrm>
                      <a:prstGeom prst="rect">
                        <a:avLst/>
                      </a:prstGeom>
                      <a:solidFill>
                        <a:srgbClr val="FFFFFF"/>
                      </a:solidFill>
                      <a:ln>
                        <a:noFill/>
                      </a:ln>
                    </wps:spPr>
                    <wps:txbx>
                      <w:txbxContent>
                        <w:p w:rsidR="005F4C24" w:rsidRDefault="004C2B0D">
                          <w:pPr>
                            <w:spacing w:after="0"/>
                            <w:textDirection w:val="btLr"/>
                          </w:pPr>
                          <w:r>
                            <w:rPr>
                              <w:color w:val="000000"/>
                              <w:sz w:val="16"/>
                            </w:rPr>
                            <w:t>Doc Info</w:t>
                          </w:r>
                        </w:p>
                        <w:p w:rsidR="005F4C24" w:rsidRDefault="004C2B0D">
                          <w:pPr>
                            <w:spacing w:after="0"/>
                            <w:textDirection w:val="btLr"/>
                          </w:pPr>
                          <w:r>
                            <w:rPr>
                              <w:color w:val="000000"/>
                              <w:sz w:val="16"/>
                            </w:rPr>
                            <w:t>Branding: true</w:t>
                          </w:r>
                        </w:p>
                        <w:p w:rsidR="005F4C24" w:rsidRDefault="004C2B0D">
                          <w:pPr>
                            <w:spacing w:after="0"/>
                            <w:textDirection w:val="btLr"/>
                          </w:pPr>
                          <w:proofErr w:type="spellStart"/>
                          <w:r>
                            <w:rPr>
                              <w:color w:val="000000"/>
                              <w:sz w:val="16"/>
                            </w:rPr>
                            <w:t>FirmNameShort</w:t>
                          </w:r>
                          <w:proofErr w:type="spellEnd"/>
                          <w:r>
                            <w:rPr>
                              <w:color w:val="000000"/>
                              <w:sz w:val="16"/>
                            </w:rPr>
                            <w:t>: DLA Piper</w:t>
                          </w:r>
                        </w:p>
                        <w:p w:rsidR="005F4C24" w:rsidRDefault="004C2B0D">
                          <w:pPr>
                            <w:spacing w:after="0"/>
                            <w:textDirection w:val="btLr"/>
                          </w:pPr>
                          <w:proofErr w:type="spellStart"/>
                          <w:r>
                            <w:rPr>
                              <w:color w:val="000000"/>
                              <w:sz w:val="16"/>
                            </w:rPr>
                            <w:t>IncludeAppendix</w:t>
                          </w:r>
                          <w:proofErr w:type="spellEnd"/>
                          <w:r>
                            <w:rPr>
                              <w:color w:val="000000"/>
                              <w:sz w:val="16"/>
                            </w:rPr>
                            <w:t>:</w:t>
                          </w:r>
                          <w:r>
                            <w:rPr>
                              <w:color w:val="000000"/>
                            </w:rPr>
                            <w:t xml:space="preserve"> false</w:t>
                          </w:r>
                        </w:p>
                        <w:p w:rsidR="005F4C24" w:rsidRDefault="004C2B0D">
                          <w:pPr>
                            <w:spacing w:after="0"/>
                            <w:textDirection w:val="btLr"/>
                          </w:pPr>
                          <w:proofErr w:type="spellStart"/>
                          <w:r>
                            <w:rPr>
                              <w:color w:val="000000"/>
                              <w:sz w:val="16"/>
                            </w:rPr>
                            <w:t>IncludeSchedules</w:t>
                          </w:r>
                          <w:proofErr w:type="spellEnd"/>
                          <w:r>
                            <w:rPr>
                              <w:color w:val="000000"/>
                              <w:sz w:val="16"/>
                            </w:rPr>
                            <w:t>: false</w:t>
                          </w:r>
                        </w:p>
                        <w:p w:rsidR="005F4C24" w:rsidRDefault="005F4C24">
                          <w:pPr>
                            <w:spacing w:after="0"/>
                            <w:textDirection w:val="btLr"/>
                          </w:pPr>
                        </w:p>
                        <w:p w:rsidR="005F4C24" w:rsidRDefault="005F4C24">
                          <w:pPr>
                            <w:spacing w:after="0"/>
                            <w:textDirection w:val="btLr"/>
                          </w:pPr>
                        </w:p>
                      </w:txbxContent>
                    </wps:txbx>
                    <wps:bodyPr spcFirstLastPara="1" wrap="square" lIns="91425" tIns="45700" rIns="91425" bIns="45700" anchor="t" anchorCtr="0">
                      <a:noAutofit/>
                    </wps:bodyPr>
                  </wps:wsp>
                </a:graphicData>
              </a:graphic>
            </wp:anchor>
          </w:drawing>
        </mc:Choice>
        <mc:Fallback>
          <w:pict>
            <v:rect id="Rectangle 72" o:spid="_x0000_s1096" style="position:absolute;margin-left:-5pt;margin-top:-29pt;width:51.5pt;height:2.5pt;flip:x;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" stroked="f">
              <v:textbox inset="2.53958mm,1.2694mm,2.53958mm,1.2694mm">
                <w:txbxContent>
                  <w:p w:rsidR="005F4C24" w:rsidRDefault="004C2B0D">
                    <w:pPr>
                      <w:spacing w:after="0"/>
                      <w:textDirection w:val="btLr"/>
                    </w:pPr>
                    <w:r>
                      <w:rPr>
                        <w:color w:val="000000"/>
                        <w:sz w:val="16"/>
                      </w:rPr>
                      <w:t>Doc Info</w:t>
                    </w:r>
                  </w:p>
                  <w:p w:rsidR="005F4C24" w:rsidRDefault="004C2B0D">
                    <w:pPr>
                      <w:spacing w:after="0"/>
                      <w:textDirection w:val="btLr"/>
                    </w:pPr>
                    <w:r>
                      <w:rPr>
                        <w:color w:val="000000"/>
                        <w:sz w:val="16"/>
                      </w:rPr>
                      <w:t>Branding: true</w:t>
                    </w:r>
                  </w:p>
                  <w:p w:rsidR="005F4C24" w:rsidRDefault="004C2B0D">
                    <w:pPr>
                      <w:spacing w:after="0"/>
                      <w:textDirection w:val="btLr"/>
                    </w:pPr>
                    <w:proofErr w:type="spellStart"/>
                    <w:r>
                      <w:rPr>
                        <w:color w:val="000000"/>
                        <w:sz w:val="16"/>
                      </w:rPr>
                      <w:t>FirmNameShort</w:t>
                    </w:r>
                    <w:proofErr w:type="spellEnd"/>
                    <w:r>
                      <w:rPr>
                        <w:color w:val="000000"/>
                        <w:sz w:val="16"/>
                      </w:rPr>
                      <w:t>: DLA Piper</w:t>
                    </w:r>
                  </w:p>
                  <w:p w:rsidR="005F4C24" w:rsidRDefault="004C2B0D">
                    <w:pPr>
                      <w:spacing w:after="0"/>
                      <w:textDirection w:val="btLr"/>
                    </w:pPr>
                    <w:proofErr w:type="spellStart"/>
                    <w:r>
                      <w:rPr>
                        <w:color w:val="000000"/>
                        <w:sz w:val="16"/>
                      </w:rPr>
                      <w:t>IncludeAppendix</w:t>
                    </w:r>
                    <w:proofErr w:type="spellEnd"/>
                    <w:r>
                      <w:rPr>
                        <w:color w:val="000000"/>
                        <w:sz w:val="16"/>
                      </w:rPr>
                      <w:t>:</w:t>
                    </w:r>
                    <w:r>
                      <w:rPr>
                        <w:color w:val="000000"/>
                      </w:rPr>
                      <w:t xml:space="preserve"> false</w:t>
                    </w:r>
                  </w:p>
                  <w:p w:rsidR="005F4C24" w:rsidRDefault="004C2B0D">
                    <w:pPr>
                      <w:spacing w:after="0"/>
                      <w:textDirection w:val="btLr"/>
                    </w:pPr>
                    <w:proofErr w:type="spellStart"/>
                    <w:r>
                      <w:rPr>
                        <w:color w:val="000000"/>
                        <w:sz w:val="16"/>
                      </w:rPr>
                      <w:t>IncludeSchedules</w:t>
                    </w:r>
                    <w:proofErr w:type="spellEnd"/>
                    <w:r>
                      <w:rPr>
                        <w:color w:val="000000"/>
                        <w:sz w:val="16"/>
                      </w:rPr>
                      <w:t>: false</w:t>
                    </w:r>
                  </w:p>
                  <w:p w:rsidR="005F4C24" w:rsidRDefault="005F4C24">
                    <w:pPr>
                      <w:spacing w:after="0"/>
                      <w:textDirection w:val="btLr"/>
                    </w:pPr>
                  </w:p>
                  <w:p w:rsidR="005F4C24" w:rsidRDefault="005F4C24">
                    <w:pPr>
                      <w:spacing w:after="0"/>
                      <w:textDirection w:val="btLr"/>
                    </w:pPr>
                  </w:p>
                </w:txbxContent>
              </v:textbox>
            </v:rect>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4C2B0D">
    <w:pPr>
      <w:pBdr>
        <w:top w:val="nil"/>
        <w:left w:val="nil"/>
        <w:bottom w:val="nil"/>
        <w:right w:val="nil"/>
        <w:between w:val="nil"/>
      </w:pBdr>
      <w:tabs>
        <w:tab w:val="center" w:pos="4513"/>
        <w:tab w:val="right" w:pos="9026"/>
      </w:tabs>
      <w:spacing w:after="0"/>
      <w:rPr>
        <w:color w:val="000000"/>
      </w:rPr>
    </w:pPr>
    <w:r>
      <w:rPr>
        <w:noProof/>
        <w:color w:val="000000"/>
      </w:rPr>
      <mc:AlternateContent>
        <mc:Choice Requires="wpg">
          <w:drawing>
            <wp:anchor distT="0" distB="0" distL="114300" distR="114300" simplePos="0" relativeHeight="251659264" behindDoc="0" locked="0" layoutInCell="1" hidden="0" allowOverlap="1">
              <wp:simplePos x="0" y="0"/>
              <wp:positionH relativeFrom="page">
                <wp:posOffset>6291618</wp:posOffset>
              </wp:positionH>
              <wp:positionV relativeFrom="page">
                <wp:posOffset>-59284</wp:posOffset>
              </wp:positionV>
              <wp:extent cx="1259840" cy="1325479"/>
              <wp:effectExtent l="0" t="0" r="0" b="0"/>
              <wp:wrapNone/>
              <wp:docPr id="59" name="Group 59"/>
              <wp:cNvGraphicFramePr/>
              <a:graphic xmlns:a="http://schemas.openxmlformats.org/drawingml/2006/main">
                <a:graphicData uri="http://schemas.microsoft.com/office/word/2010/wordprocessingGroup">
                  <wpg:wgp>
                    <wpg:cNvGrpSpPr/>
                    <wpg:grpSpPr>
                      <a:xfrm>
                        <a:off x="0" y="0"/>
                        <a:ext cx="1259840" cy="1325479"/>
                        <a:chOff x="4716075" y="3117250"/>
                        <a:chExt cx="1259850" cy="1325500"/>
                      </a:xfrm>
                    </wpg:grpSpPr>
                    <wpg:grpSp>
                      <wpg:cNvPr id="7" name="Group 7"/>
                      <wpg:cNvGrpSpPr/>
                      <wpg:grpSpPr>
                        <a:xfrm>
                          <a:off x="4716080" y="3117261"/>
                          <a:ext cx="1259840" cy="1325479"/>
                          <a:chOff x="4716075" y="3117250"/>
                          <a:chExt cx="1259850" cy="1325500"/>
                        </a:xfrm>
                      </wpg:grpSpPr>
                      <wps:wsp>
                        <wps:cNvPr id="8" name="Rectangle 8"/>
                        <wps:cNvSpPr/>
                        <wps:spPr>
                          <a:xfrm>
                            <a:off x="4716075" y="3117250"/>
                            <a:ext cx="1259850" cy="1325500"/>
                          </a:xfrm>
                          <a:prstGeom prst="rect">
                            <a:avLst/>
                          </a:prstGeom>
                          <a:noFill/>
                          <a:ln>
                            <a:noFill/>
                          </a:ln>
                        </wps:spPr>
                        <wps:txbx>
                          <w:txbxContent>
                            <w:p w:rsidR="005F4C24" w:rsidRDefault="005F4C24">
                              <w:pPr>
                                <w:spacing w:after="0"/>
                                <w:textDirection w:val="btLr"/>
                              </w:pPr>
                            </w:p>
                          </w:txbxContent>
                        </wps:txbx>
                        <wps:bodyPr spcFirstLastPara="1" wrap="square" lIns="91425" tIns="91425" rIns="91425" bIns="91425" anchor="ctr" anchorCtr="0">
                          <a:noAutofit/>
                        </wps:bodyPr>
                      </wps:wsp>
                      <wpg:grpSp>
                        <wpg:cNvPr id="9" name="Group 9"/>
                        <wpg:cNvGrpSpPr/>
                        <wpg:grpSpPr>
                          <a:xfrm>
                            <a:off x="4716080" y="3117261"/>
                            <a:ext cx="1259840" cy="1325479"/>
                            <a:chOff x="-122521" y="-617069"/>
                            <a:chExt cx="1259651" cy="1325280"/>
                          </a:xfrm>
                        </wpg:grpSpPr>
                        <wps:wsp>
                          <wps:cNvPr id="10" name="Rectangle 10"/>
                          <wps:cNvSpPr/>
                          <wps:spPr>
                            <a:xfrm>
                              <a:off x="-122521" y="-617069"/>
                              <a:ext cx="1259650" cy="1325275"/>
                            </a:xfrm>
                            <a:prstGeom prst="rect">
                              <a:avLst/>
                            </a:prstGeom>
                            <a:noFill/>
                            <a:ln>
                              <a:noFill/>
                            </a:ln>
                          </wps:spPr>
                          <wps:txbx>
                            <w:txbxContent>
                              <w:p w:rsidR="005F4C24" w:rsidRDefault="005F4C24">
                                <w:pPr>
                                  <w:spacing w:after="0"/>
                                  <w:textDirection w:val="btLr"/>
                                </w:pPr>
                              </w:p>
                            </w:txbxContent>
                          </wps:txbx>
                          <wps:bodyPr spcFirstLastPara="1" wrap="square" lIns="91425" tIns="91425" rIns="91425" bIns="91425" anchor="ctr" anchorCtr="0">
                            <a:noAutofit/>
                          </wps:bodyPr>
                        </wps:wsp>
                        <wps:wsp>
                          <wps:cNvPr id="11" name="Isosceles Triangle 11"/>
                          <wps:cNvSpPr/>
                          <wps:spPr>
                            <a:xfrm rot="-5400000" flipH="1">
                              <a:off x="-122521" y="-551440"/>
                              <a:ext cx="1259651" cy="1259651"/>
                            </a:xfrm>
                            <a:prstGeom prst="triangle">
                              <a:avLst>
                                <a:gd name="adj" fmla="val 0"/>
                              </a:avLst>
                            </a:prstGeom>
                            <a:solidFill>
                              <a:srgbClr val="E62A4F">
                                <a:alpha val="0"/>
                              </a:srgbClr>
                            </a:solidFill>
                            <a:ln>
                              <a:noFill/>
                            </a:ln>
                          </wps:spPr>
                          <wps:txbx>
                            <w:txbxContent>
                              <w:p w:rsidR="005F4C24" w:rsidRDefault="005F4C24">
                                <w:pPr>
                                  <w:spacing w:after="0"/>
                                  <w:textDirection w:val="btLr"/>
                                </w:pPr>
                              </w:p>
                            </w:txbxContent>
                          </wps:txbx>
                          <wps:bodyPr spcFirstLastPara="1" wrap="square" lIns="91425" tIns="91425" rIns="91425" bIns="91425" anchor="ctr" anchorCtr="0">
                            <a:noAutofit/>
                          </wps:bodyPr>
                        </wps:wsp>
                        <wps:wsp>
                          <wps:cNvPr id="12" name="Rectangle 12"/>
                          <wps:cNvSpPr/>
                          <wps:spPr>
                            <a:xfrm rot="2703337">
                              <a:off x="185834" y="-231200"/>
                              <a:ext cx="1001184" cy="229445"/>
                            </a:xfrm>
                            <a:prstGeom prst="rect">
                              <a:avLst/>
                            </a:prstGeom>
                            <a:solidFill>
                              <a:srgbClr val="E62A4F">
                                <a:alpha val="0"/>
                              </a:srgbClr>
                            </a:solidFill>
                            <a:ln>
                              <a:noFill/>
                            </a:ln>
                          </wps:spPr>
                          <wps:txbx>
                            <w:txbxContent>
                              <w:p w:rsidR="005F4C24" w:rsidRDefault="004C2B0D">
                                <w:pPr>
                                  <w:jc w:val="center"/>
                                  <w:textDirection w:val="btLr"/>
                                </w:pPr>
                                <w:r>
                                  <w:rPr>
                                    <w:b/>
                                    <w:color w:val="FFFFFF"/>
                                  </w:rPr>
                                  <w:t>DRAFT</w:t>
                                </w:r>
                              </w:p>
                            </w:txbxContent>
                          </wps:txbx>
                          <wps:bodyPr spcFirstLastPara="1" wrap="square" lIns="91425" tIns="45700" rIns="91425" bIns="45700" anchor="t" anchorCtr="0">
                            <a:noAutofit/>
                          </wps:bodyPr>
                        </wps:wsp>
                      </wpg:grpSp>
                    </wpg:grpSp>
                  </wpg:wgp>
                </a:graphicData>
              </a:graphic>
            </wp:anchor>
          </w:drawing>
        </mc:Choice>
        <mc:Fallback>
          <w:pict>
            <v:group id="Group 59" o:spid="_x0000_s1033" style="position:absolute;margin-left:495.4pt;margin-top:-4.65pt;width:99.2pt;height:104.35pt;z-index:251659264;mso-position-horizontal-relative:page;mso-position-vertical-relative:page" coordorigin="47160,31172" coordsize="12598,13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">
              <v:group id="Group 7" o:spid="_x0000_s1034" style="position:absolute;left:47160;top:31172;width:12599;height:13255" coordorigin="47160,31172" coordsize="12598,1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8" o:spid="_x0000_s1035" style="position:absolute;left:47160;top:31172;width:12599;height:13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" filled="f" stroked="f">
                  <v:textbox inset="2.53958mm,2.53958mm,2.53958mm,2.53958mm">
                    <w:txbxContent>
                      <w:p w:rsidR="005F4C24" w:rsidRDefault="005F4C24">
                        <w:pPr>
                          <w:spacing w:after="0"/>
                          <w:textDirection w:val="btLr"/>
                        </w:pPr>
                      </w:p>
                    </w:txbxContent>
                  </v:textbox>
                </v:rect>
                <v:group id="Group 9" o:spid="_x0000_s1036" style="position:absolute;left:47160;top:31172;width:12599;height:13255" coordorigin="-1225,-6170" coordsize="12596,13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7" style="position:absolute;left:-1225;top:-6170;width:12596;height:13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" filled="f" stroked="f">
                    <v:textbox inset="2.53958mm,2.53958mm,2.53958mm,2.53958mm">
                      <w:txbxContent>
                        <w:p w:rsidR="005F4C24" w:rsidRDefault="005F4C24">
                          <w:pPr>
                            <w:spacing w:after="0"/>
                            <w:textDirection w:val="btLr"/>
                          </w:pPr>
                        </w:p>
                      </w:txbxContent>
                    </v:textbox>
                  </v:re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1" o:spid="_x0000_s1038"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" adj="0" fillcolor="#e62a4f" stroked="f">
                    <v:fill opacity="0"/>
                    <v:textbox inset="2.53958mm,2.53958mm,2.53958mm,2.53958mm">
                      <w:txbxContent>
                        <w:p w:rsidR="005F4C24" w:rsidRDefault="005F4C24">
                          <w:pPr>
                            <w:spacing w:after="0"/>
                            <w:textDirection w:val="btLr"/>
                          </w:pPr>
                        </w:p>
                      </w:txbxContent>
                    </v:textbox>
                  </v:shape>
                  <v:rect id="Rectangle 12" o:spid="_x0000_s1039"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" fillcolor="#e62a4f" stroked="f">
                    <v:fill opacity="0"/>
                    <v:textbox inset="2.53958mm,1.2694mm,2.53958mm,1.2694mm">
                      <w:txbxContent>
                        <w:p w:rsidR="005F4C24" w:rsidRDefault="004C2B0D">
                          <w:pPr>
                            <w:jc w:val="center"/>
                            <w:textDirection w:val="btLr"/>
                          </w:pPr>
                          <w:r>
                            <w:rPr>
                              <w:b/>
                              <w:color w:val="FFFFFF"/>
                            </w:rPr>
                            <w:t>DRAFT</w:t>
                          </w:r>
                        </w:p>
                      </w:txbxContent>
                    </v:textbox>
                  </v:rect>
                </v:group>
              </v:group>
              <w10:wrap anchorx="page" anchory="page"/>
            </v:group>
          </w:pict>
        </mc:Fallback>
      </mc:AlternateContent>
    </w:r>
    <w:r>
      <w:rPr>
        <w:noProof/>
      </w:rPr>
      <mc:AlternateContent>
        <mc:Choice Requires="wps">
          <w:drawing>
            <wp:anchor distT="0" distB="0" distL="114300" distR="114300" simplePos="0" relativeHeight="251660288" behindDoc="0" locked="0" layoutInCell="1" hidden="0" allowOverlap="1">
              <wp:simplePos x="0" y="0"/>
              <wp:positionH relativeFrom="column">
                <wp:posOffset>-63499</wp:posOffset>
              </wp:positionH>
              <wp:positionV relativeFrom="paragraph">
                <wp:posOffset>-368299</wp:posOffset>
              </wp:positionV>
              <wp:extent cx="654050" cy="31750"/>
              <wp:effectExtent l="0" t="0" r="0" b="0"/>
              <wp:wrapNone/>
              <wp:docPr id="53" name="Rectangle 53"/>
              <wp:cNvGraphicFramePr/>
              <a:graphic xmlns:a="http://schemas.openxmlformats.org/drawingml/2006/main">
                <a:graphicData uri="http://schemas.microsoft.com/office/word/2010/wordprocessingShape">
                  <wps:wsp>
                    <wps:cNvSpPr/>
                    <wps:spPr>
                      <a:xfrm flipH="1">
                        <a:off x="5028500" y="3773650"/>
                        <a:ext cx="635000" cy="12700"/>
                      </a:xfrm>
                      <a:prstGeom prst="rect">
                        <a:avLst/>
                      </a:prstGeom>
                      <a:solidFill>
                        <a:srgbClr val="FFFFFF"/>
                      </a:solidFill>
                      <a:ln>
                        <a:noFill/>
                      </a:ln>
                    </wps:spPr>
                    <wps:txbx>
                      <w:txbxContent>
                        <w:p w:rsidR="005F4C24" w:rsidRDefault="004C2B0D">
                          <w:pPr>
                            <w:spacing w:after="0"/>
                            <w:textDirection w:val="btLr"/>
                          </w:pPr>
                          <w:r>
                            <w:rPr>
                              <w:color w:val="000000"/>
                              <w:sz w:val="16"/>
                            </w:rPr>
                            <w:t>Doc Info</w:t>
                          </w:r>
                        </w:p>
                        <w:p w:rsidR="005F4C24" w:rsidRDefault="004C2B0D">
                          <w:pPr>
                            <w:spacing w:after="0"/>
                            <w:textDirection w:val="btLr"/>
                          </w:pPr>
                          <w:r>
                            <w:rPr>
                              <w:color w:val="000000"/>
                              <w:sz w:val="16"/>
                            </w:rPr>
                            <w:t>Branding: true</w:t>
                          </w:r>
                        </w:p>
                        <w:p w:rsidR="005F4C24" w:rsidRDefault="004C2B0D">
                          <w:pPr>
                            <w:spacing w:after="0"/>
                            <w:textDirection w:val="btLr"/>
                          </w:pPr>
                          <w:proofErr w:type="spellStart"/>
                          <w:r>
                            <w:rPr>
                              <w:color w:val="000000"/>
                              <w:sz w:val="16"/>
                            </w:rPr>
                            <w:t>FirmNameShort</w:t>
                          </w:r>
                          <w:proofErr w:type="spellEnd"/>
                          <w:r>
                            <w:rPr>
                              <w:color w:val="000000"/>
                              <w:sz w:val="16"/>
                            </w:rPr>
                            <w:t>: DLA Piper</w:t>
                          </w:r>
                        </w:p>
                        <w:p w:rsidR="005F4C24" w:rsidRDefault="004C2B0D">
                          <w:pPr>
                            <w:spacing w:after="0"/>
                            <w:textDirection w:val="btLr"/>
                          </w:pPr>
                          <w:proofErr w:type="spellStart"/>
                          <w:r>
                            <w:rPr>
                              <w:color w:val="000000"/>
                              <w:sz w:val="16"/>
                            </w:rPr>
                            <w:t>IncludeAppendix</w:t>
                          </w:r>
                          <w:proofErr w:type="spellEnd"/>
                          <w:r>
                            <w:rPr>
                              <w:color w:val="000000"/>
                              <w:sz w:val="16"/>
                            </w:rPr>
                            <w:t>:</w:t>
                          </w:r>
                          <w:r>
                            <w:rPr>
                              <w:color w:val="000000"/>
                            </w:rPr>
                            <w:t xml:space="preserve"> false</w:t>
                          </w:r>
                        </w:p>
                        <w:p w:rsidR="005F4C24" w:rsidRDefault="004C2B0D">
                          <w:pPr>
                            <w:spacing w:after="0"/>
                            <w:textDirection w:val="btLr"/>
                          </w:pPr>
                          <w:proofErr w:type="spellStart"/>
                          <w:r>
                            <w:rPr>
                              <w:color w:val="000000"/>
                              <w:sz w:val="16"/>
                            </w:rPr>
                            <w:t>IncludeSchedules</w:t>
                          </w:r>
                          <w:proofErr w:type="spellEnd"/>
                          <w:r>
                            <w:rPr>
                              <w:color w:val="000000"/>
                              <w:sz w:val="16"/>
                            </w:rPr>
                            <w:t>: false</w:t>
                          </w:r>
                        </w:p>
                        <w:p w:rsidR="005F4C24" w:rsidRDefault="005F4C24">
                          <w:pPr>
                            <w:spacing w:after="0"/>
                            <w:textDirection w:val="btLr"/>
                          </w:pPr>
                        </w:p>
                        <w:p w:rsidR="005F4C24" w:rsidRDefault="005F4C24">
                          <w:pPr>
                            <w:spacing w:after="0"/>
                            <w:textDirection w:val="btLr"/>
                          </w:pPr>
                        </w:p>
                      </w:txbxContent>
                    </wps:txbx>
                    <wps:bodyPr spcFirstLastPara="1" wrap="square" lIns="91425" tIns="45700" rIns="91425" bIns="45700" anchor="t" anchorCtr="0">
                      <a:noAutofit/>
                    </wps:bodyPr>
                  </wps:wsp>
                </a:graphicData>
              </a:graphic>
            </wp:anchor>
          </w:drawing>
        </mc:Choice>
        <mc:Fallback>
          <w:pict>
            <v:rect id="Rectangle 53" o:spid="_x0000_s1040" style="position:absolute;margin-left:-5pt;margin-top:-29pt;width:51.5pt;height:2.5pt;flip:x;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" stroked="f">
              <v:textbox inset="2.53958mm,1.2694mm,2.53958mm,1.2694mm">
                <w:txbxContent>
                  <w:p w:rsidR="005F4C24" w:rsidRDefault="004C2B0D">
                    <w:pPr>
                      <w:spacing w:after="0"/>
                      <w:textDirection w:val="btLr"/>
                    </w:pPr>
                    <w:r>
                      <w:rPr>
                        <w:color w:val="000000"/>
                        <w:sz w:val="16"/>
                      </w:rPr>
                      <w:t>Doc Info</w:t>
                    </w:r>
                  </w:p>
                  <w:p w:rsidR="005F4C24" w:rsidRDefault="004C2B0D">
                    <w:pPr>
                      <w:spacing w:after="0"/>
                      <w:textDirection w:val="btLr"/>
                    </w:pPr>
                    <w:r>
                      <w:rPr>
                        <w:color w:val="000000"/>
                        <w:sz w:val="16"/>
                      </w:rPr>
                      <w:t>Branding: true</w:t>
                    </w:r>
                  </w:p>
                  <w:p w:rsidR="005F4C24" w:rsidRDefault="004C2B0D">
                    <w:pPr>
                      <w:spacing w:after="0"/>
                      <w:textDirection w:val="btLr"/>
                    </w:pPr>
                    <w:proofErr w:type="spellStart"/>
                    <w:r>
                      <w:rPr>
                        <w:color w:val="000000"/>
                        <w:sz w:val="16"/>
                      </w:rPr>
                      <w:t>FirmNameShort</w:t>
                    </w:r>
                    <w:proofErr w:type="spellEnd"/>
                    <w:r>
                      <w:rPr>
                        <w:color w:val="000000"/>
                        <w:sz w:val="16"/>
                      </w:rPr>
                      <w:t>: DLA Piper</w:t>
                    </w:r>
                  </w:p>
                  <w:p w:rsidR="005F4C24" w:rsidRDefault="004C2B0D">
                    <w:pPr>
                      <w:spacing w:after="0"/>
                      <w:textDirection w:val="btLr"/>
                    </w:pPr>
                    <w:proofErr w:type="spellStart"/>
                    <w:r>
                      <w:rPr>
                        <w:color w:val="000000"/>
                        <w:sz w:val="16"/>
                      </w:rPr>
                      <w:t>IncludeAppendix</w:t>
                    </w:r>
                    <w:proofErr w:type="spellEnd"/>
                    <w:r>
                      <w:rPr>
                        <w:color w:val="000000"/>
                        <w:sz w:val="16"/>
                      </w:rPr>
                      <w:t>:</w:t>
                    </w:r>
                    <w:r>
                      <w:rPr>
                        <w:color w:val="000000"/>
                      </w:rPr>
                      <w:t xml:space="preserve"> false</w:t>
                    </w:r>
                  </w:p>
                  <w:p w:rsidR="005F4C24" w:rsidRDefault="004C2B0D">
                    <w:pPr>
                      <w:spacing w:after="0"/>
                      <w:textDirection w:val="btLr"/>
                    </w:pPr>
                    <w:proofErr w:type="spellStart"/>
                    <w:r>
                      <w:rPr>
                        <w:color w:val="000000"/>
                        <w:sz w:val="16"/>
                      </w:rPr>
                      <w:t>IncludeSchedules</w:t>
                    </w:r>
                    <w:proofErr w:type="spellEnd"/>
                    <w:r>
                      <w:rPr>
                        <w:color w:val="000000"/>
                        <w:sz w:val="16"/>
                      </w:rPr>
                      <w:t>: false</w:t>
                    </w:r>
                  </w:p>
                  <w:p w:rsidR="005F4C24" w:rsidRDefault="005F4C24">
                    <w:pPr>
                      <w:spacing w:after="0"/>
                      <w:textDirection w:val="btLr"/>
                    </w:pPr>
                  </w:p>
                  <w:p w:rsidR="005F4C24" w:rsidRDefault="005F4C24">
                    <w:pPr>
                      <w:spacing w:after="0"/>
                      <w:textDirection w:val="btLr"/>
                    </w:pPr>
                  </w:p>
                </w:txbxContent>
              </v:textbox>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pBdr>
        <w:top w:val="nil"/>
        <w:left w:val="nil"/>
        <w:bottom w:val="nil"/>
        <w:right w:val="nil"/>
        <w:between w:val="nil"/>
      </w:pBdr>
      <w:tabs>
        <w:tab w:val="center" w:pos="4513"/>
        <w:tab w:val="right" w:pos="9026"/>
      </w:tabs>
      <w:spacing w:after="0"/>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pBdr>
        <w:top w:val="nil"/>
        <w:left w:val="nil"/>
        <w:bottom w:val="nil"/>
        <w:right w:val="nil"/>
        <w:between w:val="nil"/>
      </w:pBdr>
      <w:tabs>
        <w:tab w:val="center" w:pos="4513"/>
        <w:tab w:val="right" w:pos="9026"/>
      </w:tabs>
      <w:spacing w:after="0"/>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4C2B0D">
    <w:pPr>
      <w:pBdr>
        <w:top w:val="nil"/>
        <w:left w:val="nil"/>
        <w:bottom w:val="nil"/>
        <w:right w:val="nil"/>
        <w:between w:val="nil"/>
      </w:pBdr>
      <w:tabs>
        <w:tab w:val="center" w:pos="4513"/>
        <w:tab w:val="right" w:pos="9026"/>
      </w:tabs>
      <w:spacing w:after="0"/>
      <w:rPr>
        <w:color w:val="000000"/>
      </w:rPr>
    </w:pPr>
    <w:r>
      <w:rPr>
        <w:noProof/>
        <w:color w:val="000000"/>
      </w:rPr>
      <mc:AlternateContent>
        <mc:Choice Requires="wpg">
          <w:drawing>
            <wp:anchor distT="0" distB="0" distL="114300" distR="114300" simplePos="0" relativeHeight="251661312" behindDoc="0" locked="0" layoutInCell="1" hidden="0" allowOverlap="1">
              <wp:simplePos x="0" y="0"/>
              <wp:positionH relativeFrom="page">
                <wp:posOffset>6291618</wp:posOffset>
              </wp:positionH>
              <wp:positionV relativeFrom="page">
                <wp:posOffset>-59284</wp:posOffset>
              </wp:positionV>
              <wp:extent cx="1259840" cy="1325479"/>
              <wp:effectExtent l="0" t="0" r="0" b="0"/>
              <wp:wrapNone/>
              <wp:docPr id="62" name="Group 62"/>
              <wp:cNvGraphicFramePr/>
              <a:graphic xmlns:a="http://schemas.openxmlformats.org/drawingml/2006/main">
                <a:graphicData uri="http://schemas.microsoft.com/office/word/2010/wordprocessingGroup">
                  <wpg:wgp>
                    <wpg:cNvGrpSpPr/>
                    <wpg:grpSpPr>
                      <a:xfrm>
                        <a:off x="0" y="0"/>
                        <a:ext cx="1259840" cy="1325479"/>
                        <a:chOff x="4716075" y="3117250"/>
                        <a:chExt cx="1259850" cy="1325500"/>
                      </a:xfrm>
                    </wpg:grpSpPr>
                    <wpg:grpSp>
                      <wpg:cNvPr id="13" name="Group 13"/>
                      <wpg:cNvGrpSpPr/>
                      <wpg:grpSpPr>
                        <a:xfrm>
                          <a:off x="4716080" y="3117261"/>
                          <a:ext cx="1259840" cy="1325479"/>
                          <a:chOff x="4716075" y="3117250"/>
                          <a:chExt cx="1259850" cy="1325500"/>
                        </a:xfrm>
                      </wpg:grpSpPr>
                      <wps:wsp>
                        <wps:cNvPr id="14" name="Rectangle 14"/>
                        <wps:cNvSpPr/>
                        <wps:spPr>
                          <a:xfrm>
                            <a:off x="4716075" y="3117250"/>
                            <a:ext cx="1259850" cy="1325500"/>
                          </a:xfrm>
                          <a:prstGeom prst="rect">
                            <a:avLst/>
                          </a:prstGeom>
                          <a:noFill/>
                          <a:ln>
                            <a:noFill/>
                          </a:ln>
                        </wps:spPr>
                        <wps:txbx>
                          <w:txbxContent>
                            <w:p w:rsidR="005F4C24" w:rsidRDefault="005F4C24">
                              <w:pPr>
                                <w:spacing w:after="0"/>
                                <w:textDirection w:val="btLr"/>
                              </w:pPr>
                            </w:p>
                          </w:txbxContent>
                        </wps:txbx>
                        <wps:bodyPr spcFirstLastPara="1" wrap="square" lIns="91425" tIns="91425" rIns="91425" bIns="91425" anchor="ctr" anchorCtr="0">
                          <a:noAutofit/>
                        </wps:bodyPr>
                      </wps:wsp>
                      <wpg:grpSp>
                        <wpg:cNvPr id="15" name="Group 15"/>
                        <wpg:cNvGrpSpPr/>
                        <wpg:grpSpPr>
                          <a:xfrm>
                            <a:off x="4716080" y="3117261"/>
                            <a:ext cx="1259840" cy="1325479"/>
                            <a:chOff x="-122521" y="-617069"/>
                            <a:chExt cx="1259651" cy="1325280"/>
                          </a:xfrm>
                        </wpg:grpSpPr>
                        <wps:wsp>
                          <wps:cNvPr id="16" name="Rectangle 16"/>
                          <wps:cNvSpPr/>
                          <wps:spPr>
                            <a:xfrm>
                              <a:off x="-122521" y="-617069"/>
                              <a:ext cx="1259650" cy="1325275"/>
                            </a:xfrm>
                            <a:prstGeom prst="rect">
                              <a:avLst/>
                            </a:prstGeom>
                            <a:noFill/>
                            <a:ln>
                              <a:noFill/>
                            </a:ln>
                          </wps:spPr>
                          <wps:txbx>
                            <w:txbxContent>
                              <w:p w:rsidR="005F4C24" w:rsidRDefault="005F4C24">
                                <w:pPr>
                                  <w:spacing w:after="0"/>
                                  <w:textDirection w:val="btLr"/>
                                </w:pPr>
                              </w:p>
                            </w:txbxContent>
                          </wps:txbx>
                          <wps:bodyPr spcFirstLastPara="1" wrap="square" lIns="91425" tIns="91425" rIns="91425" bIns="91425" anchor="ctr" anchorCtr="0">
                            <a:noAutofit/>
                          </wps:bodyPr>
                        </wps:wsp>
                        <wps:wsp>
                          <wps:cNvPr id="17" name="Isosceles Triangle 17"/>
                          <wps:cNvSpPr/>
                          <wps:spPr>
                            <a:xfrm rot="-5400000" flipH="1">
                              <a:off x="-122521" y="-551440"/>
                              <a:ext cx="1259651" cy="1259651"/>
                            </a:xfrm>
                            <a:prstGeom prst="triangle">
                              <a:avLst>
                                <a:gd name="adj" fmla="val 0"/>
                              </a:avLst>
                            </a:prstGeom>
                            <a:solidFill>
                              <a:srgbClr val="E62A4F">
                                <a:alpha val="0"/>
                              </a:srgbClr>
                            </a:solidFill>
                            <a:ln>
                              <a:noFill/>
                            </a:ln>
                          </wps:spPr>
                          <wps:txbx>
                            <w:txbxContent>
                              <w:p w:rsidR="005F4C24" w:rsidRDefault="005F4C24">
                                <w:pPr>
                                  <w:spacing w:after="0"/>
                                  <w:textDirection w:val="btLr"/>
                                </w:pPr>
                              </w:p>
                            </w:txbxContent>
                          </wps:txbx>
                          <wps:bodyPr spcFirstLastPara="1" wrap="square" lIns="91425" tIns="91425" rIns="91425" bIns="91425" anchor="ctr" anchorCtr="0">
                            <a:noAutofit/>
                          </wps:bodyPr>
                        </wps:wsp>
                        <wps:wsp>
                          <wps:cNvPr id="18" name="Rectangle 18"/>
                          <wps:cNvSpPr/>
                          <wps:spPr>
                            <a:xfrm rot="2703337">
                              <a:off x="185834" y="-231200"/>
                              <a:ext cx="1001184" cy="229445"/>
                            </a:xfrm>
                            <a:prstGeom prst="rect">
                              <a:avLst/>
                            </a:prstGeom>
                            <a:solidFill>
                              <a:srgbClr val="E62A4F">
                                <a:alpha val="0"/>
                              </a:srgbClr>
                            </a:solidFill>
                            <a:ln>
                              <a:noFill/>
                            </a:ln>
                          </wps:spPr>
                          <wps:txbx>
                            <w:txbxContent>
                              <w:p w:rsidR="005F4C24" w:rsidRDefault="004C2B0D">
                                <w:pPr>
                                  <w:jc w:val="center"/>
                                  <w:textDirection w:val="btLr"/>
                                </w:pPr>
                                <w:r>
                                  <w:rPr>
                                    <w:b/>
                                    <w:color w:val="FFFFFF"/>
                                  </w:rPr>
                                  <w:t>DRAFT</w:t>
                                </w:r>
                              </w:p>
                            </w:txbxContent>
                          </wps:txbx>
                          <wps:bodyPr spcFirstLastPara="1" wrap="square" lIns="91425" tIns="45700" rIns="91425" bIns="45700" anchor="t" anchorCtr="0">
                            <a:noAutofit/>
                          </wps:bodyPr>
                        </wps:wsp>
                      </wpg:grpSp>
                    </wpg:grpSp>
                  </wpg:wgp>
                </a:graphicData>
              </a:graphic>
            </wp:anchor>
          </w:drawing>
        </mc:Choice>
        <mc:Fallback>
          <w:pict>
            <v:group id="Group 62" o:spid="_x0000_s1041" style="position:absolute;margin-left:495.4pt;margin-top:-4.65pt;width:99.2pt;height:104.35pt;z-index:251661312;mso-position-horizontal-relative:page;mso-position-vertical-relative:page" coordorigin="47160,31172" coordsize="12598,13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">
              <v:group id="Group 13" o:spid="_x0000_s1042" style="position:absolute;left:47160;top:31172;width:12599;height:13255" coordorigin="47160,31172" coordsize="12598,1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4" o:spid="_x0000_s1043" style="position:absolute;left:47160;top:31172;width:12599;height:13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" filled="f" stroked="f">
                  <v:textbox inset="2.53958mm,2.53958mm,2.53958mm,2.53958mm">
                    <w:txbxContent>
                      <w:p w:rsidR="005F4C24" w:rsidRDefault="005F4C24">
                        <w:pPr>
                          <w:spacing w:after="0"/>
                          <w:textDirection w:val="btLr"/>
                        </w:pPr>
                      </w:p>
                    </w:txbxContent>
                  </v:textbox>
                </v:rect>
                <v:group id="Group 15" o:spid="_x0000_s1044" style="position:absolute;left:47160;top:31172;width:12599;height:13255" coordorigin="-1225,-6170" coordsize="12596,13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rect id="Rectangle 16" o:spid="_x0000_s1045" style="position:absolute;left:-1225;top:-6170;width:12596;height:13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" filled="f" stroked="f">
                    <v:textbox inset="2.53958mm,2.53958mm,2.53958mm,2.53958mm">
                      <w:txbxContent>
                        <w:p w:rsidR="005F4C24" w:rsidRDefault="005F4C24">
                          <w:pPr>
                            <w:spacing w:after="0"/>
                            <w:textDirection w:val="btLr"/>
                          </w:pPr>
                        </w:p>
                      </w:txbxContent>
                    </v:textbox>
                  </v:re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7" o:spid="_x0000_s1046"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" adj="0" fillcolor="#e62a4f" stroked="f">
                    <v:fill opacity="0"/>
                    <v:textbox inset="2.53958mm,2.53958mm,2.53958mm,2.53958mm">
                      <w:txbxContent>
                        <w:p w:rsidR="005F4C24" w:rsidRDefault="005F4C24">
                          <w:pPr>
                            <w:spacing w:after="0"/>
                            <w:textDirection w:val="btLr"/>
                          </w:pPr>
                        </w:p>
                      </w:txbxContent>
                    </v:textbox>
                  </v:shape>
                  <v:rect id="Rectangle 18" o:spid="_x0000_s1047"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" fillcolor="#e62a4f" stroked="f">
                    <v:fill opacity="0"/>
                    <v:textbox inset="2.53958mm,1.2694mm,2.53958mm,1.2694mm">
                      <w:txbxContent>
                        <w:p w:rsidR="005F4C24" w:rsidRDefault="004C2B0D">
                          <w:pPr>
                            <w:jc w:val="center"/>
                            <w:textDirection w:val="btLr"/>
                          </w:pPr>
                          <w:r>
                            <w:rPr>
                              <w:b/>
                              <w:color w:val="FFFFFF"/>
                            </w:rPr>
                            <w:t>DRAFT</w:t>
                          </w:r>
                        </w:p>
                      </w:txbxContent>
                    </v:textbox>
                  </v:rect>
                </v:group>
              </v:group>
              <w10:wrap anchorx="page" anchory="page"/>
            </v:group>
          </w:pict>
        </mc:Fallback>
      </mc:AlternateContent>
    </w:r>
    <w:r>
      <w:rPr>
        <w:noProof/>
      </w:rPr>
      <mc:AlternateContent>
        <mc:Choice Requires="wps">
          <w:drawing>
            <wp:anchor distT="0" distB="0" distL="114300" distR="114300" simplePos="0" relativeHeight="251662336" behindDoc="0" locked="0" layoutInCell="1" hidden="0" allowOverlap="1">
              <wp:simplePos x="0" y="0"/>
              <wp:positionH relativeFrom="column">
                <wp:posOffset>-63499</wp:posOffset>
              </wp:positionH>
              <wp:positionV relativeFrom="paragraph">
                <wp:posOffset>-368299</wp:posOffset>
              </wp:positionV>
              <wp:extent cx="654050" cy="31750"/>
              <wp:effectExtent l="0" t="0" r="0" b="0"/>
              <wp:wrapNone/>
              <wp:docPr id="52" name="Rectangle 52"/>
              <wp:cNvGraphicFramePr/>
              <a:graphic xmlns:a="http://schemas.openxmlformats.org/drawingml/2006/main">
                <a:graphicData uri="http://schemas.microsoft.com/office/word/2010/wordprocessingShape">
                  <wps:wsp>
                    <wps:cNvSpPr/>
                    <wps:spPr>
                      <a:xfrm flipH="1">
                        <a:off x="5028500" y="3773650"/>
                        <a:ext cx="635000" cy="12700"/>
                      </a:xfrm>
                      <a:prstGeom prst="rect">
                        <a:avLst/>
                      </a:prstGeom>
                      <a:solidFill>
                        <a:srgbClr val="FFFFFF"/>
                      </a:solidFill>
                      <a:ln>
                        <a:noFill/>
                      </a:ln>
                    </wps:spPr>
                    <wps:txbx>
                      <w:txbxContent>
                        <w:p w:rsidR="005F4C24" w:rsidRDefault="004C2B0D">
                          <w:pPr>
                            <w:spacing w:after="0"/>
                            <w:textDirection w:val="btLr"/>
                          </w:pPr>
                          <w:r>
                            <w:rPr>
                              <w:color w:val="000000"/>
                              <w:sz w:val="16"/>
                            </w:rPr>
                            <w:t>Doc Info</w:t>
                          </w:r>
                        </w:p>
                        <w:p w:rsidR="005F4C24" w:rsidRDefault="004C2B0D">
                          <w:pPr>
                            <w:spacing w:after="0"/>
                            <w:textDirection w:val="btLr"/>
                          </w:pPr>
                          <w:r>
                            <w:rPr>
                              <w:color w:val="000000"/>
                              <w:sz w:val="16"/>
                            </w:rPr>
                            <w:t>Branding: true</w:t>
                          </w:r>
                        </w:p>
                        <w:p w:rsidR="005F4C24" w:rsidRDefault="004C2B0D">
                          <w:pPr>
                            <w:spacing w:after="0"/>
                            <w:textDirection w:val="btLr"/>
                          </w:pPr>
                          <w:proofErr w:type="spellStart"/>
                          <w:r>
                            <w:rPr>
                              <w:color w:val="000000"/>
                              <w:sz w:val="16"/>
                            </w:rPr>
                            <w:t>FirmNameShort</w:t>
                          </w:r>
                          <w:proofErr w:type="spellEnd"/>
                          <w:r>
                            <w:rPr>
                              <w:color w:val="000000"/>
                              <w:sz w:val="16"/>
                            </w:rPr>
                            <w:t>: DLA Piper</w:t>
                          </w:r>
                        </w:p>
                        <w:p w:rsidR="005F4C24" w:rsidRDefault="004C2B0D">
                          <w:pPr>
                            <w:spacing w:after="0"/>
                            <w:textDirection w:val="btLr"/>
                          </w:pPr>
                          <w:proofErr w:type="spellStart"/>
                          <w:r>
                            <w:rPr>
                              <w:color w:val="000000"/>
                              <w:sz w:val="16"/>
                            </w:rPr>
                            <w:t>IncludeAppendix</w:t>
                          </w:r>
                          <w:proofErr w:type="spellEnd"/>
                          <w:r>
                            <w:rPr>
                              <w:color w:val="000000"/>
                              <w:sz w:val="16"/>
                            </w:rPr>
                            <w:t>:</w:t>
                          </w:r>
                          <w:r>
                            <w:rPr>
                              <w:color w:val="000000"/>
                            </w:rPr>
                            <w:t xml:space="preserve"> false</w:t>
                          </w:r>
                        </w:p>
                        <w:p w:rsidR="005F4C24" w:rsidRDefault="004C2B0D">
                          <w:pPr>
                            <w:spacing w:after="0"/>
                            <w:textDirection w:val="btLr"/>
                          </w:pPr>
                          <w:proofErr w:type="spellStart"/>
                          <w:r>
                            <w:rPr>
                              <w:color w:val="000000"/>
                              <w:sz w:val="16"/>
                            </w:rPr>
                            <w:t>IncludeSchedules</w:t>
                          </w:r>
                          <w:proofErr w:type="spellEnd"/>
                          <w:r>
                            <w:rPr>
                              <w:color w:val="000000"/>
                              <w:sz w:val="16"/>
                            </w:rPr>
                            <w:t>: false</w:t>
                          </w:r>
                        </w:p>
                        <w:p w:rsidR="005F4C24" w:rsidRDefault="005F4C24">
                          <w:pPr>
                            <w:spacing w:after="0"/>
                            <w:textDirection w:val="btLr"/>
                          </w:pPr>
                        </w:p>
                        <w:p w:rsidR="005F4C24" w:rsidRDefault="005F4C24">
                          <w:pPr>
                            <w:spacing w:after="0"/>
                            <w:textDirection w:val="btLr"/>
                          </w:pPr>
                        </w:p>
                      </w:txbxContent>
                    </wps:txbx>
                    <wps:bodyPr spcFirstLastPara="1" wrap="square" lIns="91425" tIns="45700" rIns="91425" bIns="45700" anchor="t" anchorCtr="0">
                      <a:noAutofit/>
                    </wps:bodyPr>
                  </wps:wsp>
                </a:graphicData>
              </a:graphic>
            </wp:anchor>
          </w:drawing>
        </mc:Choice>
        <mc:Fallback>
          <w:pict>
            <v:rect id="Rectangle 52" o:spid="_x0000_s1048" style="position:absolute;margin-left:-5pt;margin-top:-29pt;width:51.5pt;height:2.5pt;flip:x;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" stroked="f">
              <v:textbox inset="2.53958mm,1.2694mm,2.53958mm,1.2694mm">
                <w:txbxContent>
                  <w:p w:rsidR="005F4C24" w:rsidRDefault="004C2B0D">
                    <w:pPr>
                      <w:spacing w:after="0"/>
                      <w:textDirection w:val="btLr"/>
                    </w:pPr>
                    <w:r>
                      <w:rPr>
                        <w:color w:val="000000"/>
                        <w:sz w:val="16"/>
                      </w:rPr>
                      <w:t>Doc Info</w:t>
                    </w:r>
                  </w:p>
                  <w:p w:rsidR="005F4C24" w:rsidRDefault="004C2B0D">
                    <w:pPr>
                      <w:spacing w:after="0"/>
                      <w:textDirection w:val="btLr"/>
                    </w:pPr>
                    <w:r>
                      <w:rPr>
                        <w:color w:val="000000"/>
                        <w:sz w:val="16"/>
                      </w:rPr>
                      <w:t>Branding: true</w:t>
                    </w:r>
                  </w:p>
                  <w:p w:rsidR="005F4C24" w:rsidRDefault="004C2B0D">
                    <w:pPr>
                      <w:spacing w:after="0"/>
                      <w:textDirection w:val="btLr"/>
                    </w:pPr>
                    <w:proofErr w:type="spellStart"/>
                    <w:r>
                      <w:rPr>
                        <w:color w:val="000000"/>
                        <w:sz w:val="16"/>
                      </w:rPr>
                      <w:t>FirmNameShort</w:t>
                    </w:r>
                    <w:proofErr w:type="spellEnd"/>
                    <w:r>
                      <w:rPr>
                        <w:color w:val="000000"/>
                        <w:sz w:val="16"/>
                      </w:rPr>
                      <w:t>: DLA Piper</w:t>
                    </w:r>
                  </w:p>
                  <w:p w:rsidR="005F4C24" w:rsidRDefault="004C2B0D">
                    <w:pPr>
                      <w:spacing w:after="0"/>
                      <w:textDirection w:val="btLr"/>
                    </w:pPr>
                    <w:proofErr w:type="spellStart"/>
                    <w:r>
                      <w:rPr>
                        <w:color w:val="000000"/>
                        <w:sz w:val="16"/>
                      </w:rPr>
                      <w:t>IncludeAppendix</w:t>
                    </w:r>
                    <w:proofErr w:type="spellEnd"/>
                    <w:r>
                      <w:rPr>
                        <w:color w:val="000000"/>
                        <w:sz w:val="16"/>
                      </w:rPr>
                      <w:t>:</w:t>
                    </w:r>
                    <w:r>
                      <w:rPr>
                        <w:color w:val="000000"/>
                      </w:rPr>
                      <w:t xml:space="preserve"> false</w:t>
                    </w:r>
                  </w:p>
                  <w:p w:rsidR="005F4C24" w:rsidRDefault="004C2B0D">
                    <w:pPr>
                      <w:spacing w:after="0"/>
                      <w:textDirection w:val="btLr"/>
                    </w:pPr>
                    <w:proofErr w:type="spellStart"/>
                    <w:r>
                      <w:rPr>
                        <w:color w:val="000000"/>
                        <w:sz w:val="16"/>
                      </w:rPr>
                      <w:t>IncludeSchedules</w:t>
                    </w:r>
                    <w:proofErr w:type="spellEnd"/>
                    <w:r>
                      <w:rPr>
                        <w:color w:val="000000"/>
                        <w:sz w:val="16"/>
                      </w:rPr>
                      <w:t>: false</w:t>
                    </w:r>
                  </w:p>
                  <w:p w:rsidR="005F4C24" w:rsidRDefault="005F4C24">
                    <w:pPr>
                      <w:spacing w:after="0"/>
                      <w:textDirection w:val="btLr"/>
                    </w:pPr>
                  </w:p>
                  <w:p w:rsidR="005F4C24" w:rsidRDefault="005F4C24">
                    <w:pPr>
                      <w:spacing w:after="0"/>
                      <w:textDirection w:val="btLr"/>
                    </w:pPr>
                  </w:p>
                </w:txbxContent>
              </v:textbox>
            </v:rect>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5F4C24">
    <w:pPr>
      <w:pBdr>
        <w:top w:val="nil"/>
        <w:left w:val="nil"/>
        <w:bottom w:val="nil"/>
        <w:right w:val="nil"/>
        <w:between w:val="nil"/>
      </w:pBdr>
      <w:tabs>
        <w:tab w:val="center" w:pos="4513"/>
        <w:tab w:val="right" w:pos="9026"/>
      </w:tabs>
      <w:spacing w:after="0"/>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4C2B0D">
    <w:pPr>
      <w:pBdr>
        <w:top w:val="nil"/>
        <w:left w:val="nil"/>
        <w:bottom w:val="nil"/>
        <w:right w:val="nil"/>
        <w:between w:val="nil"/>
      </w:pBdr>
      <w:tabs>
        <w:tab w:val="center" w:pos="4513"/>
        <w:tab w:val="right" w:pos="9026"/>
      </w:tabs>
      <w:spacing w:after="0"/>
      <w:rPr>
        <w:color w:val="000000"/>
      </w:rPr>
    </w:pPr>
    <w:r>
      <w:rPr>
        <w:noProof/>
        <w:color w:val="000000"/>
      </w:rPr>
      <mc:AlternateContent>
        <mc:Choice Requires="wpg">
          <w:drawing>
            <wp:anchor distT="0" distB="0" distL="114300" distR="114300" simplePos="0" relativeHeight="251663360" behindDoc="0" locked="0" layoutInCell="1" hidden="0" allowOverlap="1">
              <wp:simplePos x="0" y="0"/>
              <wp:positionH relativeFrom="page">
                <wp:posOffset>6291618</wp:posOffset>
              </wp:positionH>
              <wp:positionV relativeFrom="page">
                <wp:posOffset>-59284</wp:posOffset>
              </wp:positionV>
              <wp:extent cx="1259840" cy="1325479"/>
              <wp:effectExtent l="0" t="0" r="0" b="0"/>
              <wp:wrapNone/>
              <wp:docPr id="63" name="Group 63"/>
              <wp:cNvGraphicFramePr/>
              <a:graphic xmlns:a="http://schemas.openxmlformats.org/drawingml/2006/main">
                <a:graphicData uri="http://schemas.microsoft.com/office/word/2010/wordprocessingGroup">
                  <wpg:wgp>
                    <wpg:cNvGrpSpPr/>
                    <wpg:grpSpPr>
                      <a:xfrm>
                        <a:off x="0" y="0"/>
                        <a:ext cx="1259840" cy="1325479"/>
                        <a:chOff x="4716075" y="3117250"/>
                        <a:chExt cx="1259850" cy="1325500"/>
                      </a:xfrm>
                    </wpg:grpSpPr>
                    <wpg:grpSp>
                      <wpg:cNvPr id="19" name="Group 19"/>
                      <wpg:cNvGrpSpPr/>
                      <wpg:grpSpPr>
                        <a:xfrm>
                          <a:off x="4716080" y="3117261"/>
                          <a:ext cx="1259840" cy="1325479"/>
                          <a:chOff x="4716075" y="3117250"/>
                          <a:chExt cx="1259850" cy="1325500"/>
                        </a:xfrm>
                      </wpg:grpSpPr>
                      <wps:wsp>
                        <wps:cNvPr id="20" name="Rectangle 20"/>
                        <wps:cNvSpPr/>
                        <wps:spPr>
                          <a:xfrm>
                            <a:off x="4716075" y="3117250"/>
                            <a:ext cx="1259850" cy="1325500"/>
                          </a:xfrm>
                          <a:prstGeom prst="rect">
                            <a:avLst/>
                          </a:prstGeom>
                          <a:noFill/>
                          <a:ln>
                            <a:noFill/>
                          </a:ln>
                        </wps:spPr>
                        <wps:txbx>
                          <w:txbxContent>
                            <w:p w:rsidR="005F4C24" w:rsidRDefault="005F4C24">
                              <w:pPr>
                                <w:spacing w:after="0"/>
                                <w:textDirection w:val="btLr"/>
                              </w:pPr>
                            </w:p>
                          </w:txbxContent>
                        </wps:txbx>
                        <wps:bodyPr spcFirstLastPara="1" wrap="square" lIns="91425" tIns="91425" rIns="91425" bIns="91425" anchor="ctr" anchorCtr="0">
                          <a:noAutofit/>
                        </wps:bodyPr>
                      </wps:wsp>
                      <wpg:grpSp>
                        <wpg:cNvPr id="21" name="Group 21"/>
                        <wpg:cNvGrpSpPr/>
                        <wpg:grpSpPr>
                          <a:xfrm>
                            <a:off x="4716080" y="3117261"/>
                            <a:ext cx="1259840" cy="1325479"/>
                            <a:chOff x="-122521" y="-617069"/>
                            <a:chExt cx="1259651" cy="1325280"/>
                          </a:xfrm>
                        </wpg:grpSpPr>
                        <wps:wsp>
                          <wps:cNvPr id="22" name="Rectangle 22"/>
                          <wps:cNvSpPr/>
                          <wps:spPr>
                            <a:xfrm>
                              <a:off x="-122521" y="-617069"/>
                              <a:ext cx="1259650" cy="1325275"/>
                            </a:xfrm>
                            <a:prstGeom prst="rect">
                              <a:avLst/>
                            </a:prstGeom>
                            <a:noFill/>
                            <a:ln>
                              <a:noFill/>
                            </a:ln>
                          </wps:spPr>
                          <wps:txbx>
                            <w:txbxContent>
                              <w:p w:rsidR="005F4C24" w:rsidRDefault="005F4C24">
                                <w:pPr>
                                  <w:spacing w:after="0"/>
                                  <w:textDirection w:val="btLr"/>
                                </w:pPr>
                              </w:p>
                            </w:txbxContent>
                          </wps:txbx>
                          <wps:bodyPr spcFirstLastPara="1" wrap="square" lIns="91425" tIns="91425" rIns="91425" bIns="91425" anchor="ctr" anchorCtr="0">
                            <a:noAutofit/>
                          </wps:bodyPr>
                        </wps:wsp>
                        <wps:wsp>
                          <wps:cNvPr id="23" name="Isosceles Triangle 23"/>
                          <wps:cNvSpPr/>
                          <wps:spPr>
                            <a:xfrm rot="-5400000" flipH="1">
                              <a:off x="-122521" y="-551440"/>
                              <a:ext cx="1259651" cy="1259651"/>
                            </a:xfrm>
                            <a:prstGeom prst="triangle">
                              <a:avLst>
                                <a:gd name="adj" fmla="val 0"/>
                              </a:avLst>
                            </a:prstGeom>
                            <a:solidFill>
                              <a:srgbClr val="E62A4F">
                                <a:alpha val="0"/>
                              </a:srgbClr>
                            </a:solidFill>
                            <a:ln>
                              <a:noFill/>
                            </a:ln>
                          </wps:spPr>
                          <wps:txbx>
                            <w:txbxContent>
                              <w:p w:rsidR="005F4C24" w:rsidRDefault="005F4C24">
                                <w:pPr>
                                  <w:spacing w:after="0"/>
                                  <w:textDirection w:val="btLr"/>
                                </w:pPr>
                              </w:p>
                            </w:txbxContent>
                          </wps:txbx>
                          <wps:bodyPr spcFirstLastPara="1" wrap="square" lIns="91425" tIns="91425" rIns="91425" bIns="91425" anchor="ctr" anchorCtr="0">
                            <a:noAutofit/>
                          </wps:bodyPr>
                        </wps:wsp>
                        <wps:wsp>
                          <wps:cNvPr id="24" name="Rectangle 24"/>
                          <wps:cNvSpPr/>
                          <wps:spPr>
                            <a:xfrm rot="2703337">
                              <a:off x="185834" y="-231200"/>
                              <a:ext cx="1001184" cy="229445"/>
                            </a:xfrm>
                            <a:prstGeom prst="rect">
                              <a:avLst/>
                            </a:prstGeom>
                            <a:solidFill>
                              <a:srgbClr val="E62A4F">
                                <a:alpha val="0"/>
                              </a:srgbClr>
                            </a:solidFill>
                            <a:ln>
                              <a:noFill/>
                            </a:ln>
                          </wps:spPr>
                          <wps:txbx>
                            <w:txbxContent>
                              <w:p w:rsidR="005F4C24" w:rsidRDefault="004C2B0D">
                                <w:pPr>
                                  <w:jc w:val="center"/>
                                  <w:textDirection w:val="btLr"/>
                                </w:pPr>
                                <w:r>
                                  <w:rPr>
                                    <w:b/>
                                    <w:color w:val="FFFFFF"/>
                                  </w:rPr>
                                  <w:t>DRAFT</w:t>
                                </w:r>
                              </w:p>
                            </w:txbxContent>
                          </wps:txbx>
                          <wps:bodyPr spcFirstLastPara="1" wrap="square" lIns="91425" tIns="45700" rIns="91425" bIns="45700" anchor="t" anchorCtr="0">
                            <a:noAutofit/>
                          </wps:bodyPr>
                        </wps:wsp>
                      </wpg:grpSp>
                    </wpg:grpSp>
                  </wpg:wgp>
                </a:graphicData>
              </a:graphic>
            </wp:anchor>
          </w:drawing>
        </mc:Choice>
        <mc:Fallback>
          <w:pict>
            <v:group id="Group 63" o:spid="_x0000_s1049" style="position:absolute;margin-left:495.4pt;margin-top:-4.65pt;width:99.2pt;height:104.35pt;z-index:251663360;mso-position-horizontal-relative:page;mso-position-vertical-relative:page" coordorigin="47160,31172" coordsize="12598,13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">
              <v:group id="Group 19" o:spid="_x0000_s1050" style="position:absolute;left:47160;top:31172;width:12599;height:13255" coordorigin="47160,31172" coordsize="12598,1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20" o:spid="_x0000_s1051" style="position:absolute;left:47160;top:31172;width:12599;height:13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" filled="f" stroked="f">
                  <v:textbox inset="2.53958mm,2.53958mm,2.53958mm,2.53958mm">
                    <w:txbxContent>
                      <w:p w:rsidR="005F4C24" w:rsidRDefault="005F4C24">
                        <w:pPr>
                          <w:spacing w:after="0"/>
                          <w:textDirection w:val="btLr"/>
                        </w:pPr>
                      </w:p>
                    </w:txbxContent>
                  </v:textbox>
                </v:rect>
                <v:group id="Group 21" o:spid="_x0000_s1052" style="position:absolute;left:47160;top:31172;width:12599;height:13255" coordorigin="-1225,-6170" coordsize="12596,13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Rectangle 22" o:spid="_x0000_s1053" style="position:absolute;left:-1225;top:-6170;width:12596;height:13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" filled="f" stroked="f">
                    <v:textbox inset="2.53958mm,2.53958mm,2.53958mm,2.53958mm">
                      <w:txbxContent>
                        <w:p w:rsidR="005F4C24" w:rsidRDefault="005F4C24">
                          <w:pPr>
                            <w:spacing w:after="0"/>
                            <w:textDirection w:val="btLr"/>
                          </w:pPr>
                        </w:p>
                      </w:txbxContent>
                    </v:textbox>
                  </v:re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3" o:spid="_x0000_s1054"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" adj="0" fillcolor="#e62a4f" stroked="f">
                    <v:fill opacity="0"/>
                    <v:textbox inset="2.53958mm,2.53958mm,2.53958mm,2.53958mm">
                      <w:txbxContent>
                        <w:p w:rsidR="005F4C24" w:rsidRDefault="005F4C24">
                          <w:pPr>
                            <w:spacing w:after="0"/>
                            <w:textDirection w:val="btLr"/>
                          </w:pPr>
                        </w:p>
                      </w:txbxContent>
                    </v:textbox>
                  </v:shape>
                  <v:rect id="Rectangle 24" o:spid="_x0000_s1055"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" fillcolor="#e62a4f" stroked="f">
                    <v:fill opacity="0"/>
                    <v:textbox inset="2.53958mm,1.2694mm,2.53958mm,1.2694mm">
                      <w:txbxContent>
                        <w:p w:rsidR="005F4C24" w:rsidRDefault="004C2B0D">
                          <w:pPr>
                            <w:jc w:val="center"/>
                            <w:textDirection w:val="btLr"/>
                          </w:pPr>
                          <w:r>
                            <w:rPr>
                              <w:b/>
                              <w:color w:val="FFFFFF"/>
                            </w:rPr>
                            <w:t>DRAFT</w:t>
                          </w:r>
                        </w:p>
                      </w:txbxContent>
                    </v:textbox>
                  </v:rect>
                </v:group>
              </v:group>
              <w10:wrap anchorx="page" anchory="page"/>
            </v:group>
          </w:pict>
        </mc:Fallback>
      </mc:AlternateContent>
    </w:r>
    <w:r>
      <w:rPr>
        <w:noProof/>
      </w:rPr>
      <mc:AlternateContent>
        <mc:Choice Requires="wps">
          <w:drawing>
            <wp:anchor distT="0" distB="0" distL="114300" distR="114300" simplePos="0" relativeHeight="251664384" behindDoc="0" locked="0" layoutInCell="1" hidden="0" allowOverlap="1">
              <wp:simplePos x="0" y="0"/>
              <wp:positionH relativeFrom="column">
                <wp:posOffset>-63499</wp:posOffset>
              </wp:positionH>
              <wp:positionV relativeFrom="paragraph">
                <wp:posOffset>-368299</wp:posOffset>
              </wp:positionV>
              <wp:extent cx="654050" cy="31750"/>
              <wp:effectExtent l="0" t="0" r="0" b="0"/>
              <wp:wrapNone/>
              <wp:docPr id="61" name="Rectangle 61"/>
              <wp:cNvGraphicFramePr/>
              <a:graphic xmlns:a="http://schemas.openxmlformats.org/drawingml/2006/main">
                <a:graphicData uri="http://schemas.microsoft.com/office/word/2010/wordprocessingShape">
                  <wps:wsp>
                    <wps:cNvSpPr/>
                    <wps:spPr>
                      <a:xfrm flipH="1">
                        <a:off x="5028500" y="3773650"/>
                        <a:ext cx="635000" cy="12700"/>
                      </a:xfrm>
                      <a:prstGeom prst="rect">
                        <a:avLst/>
                      </a:prstGeom>
                      <a:solidFill>
                        <a:srgbClr val="FFFFFF"/>
                      </a:solidFill>
                      <a:ln>
                        <a:noFill/>
                      </a:ln>
                    </wps:spPr>
                    <wps:txbx>
                      <w:txbxContent>
                        <w:p w:rsidR="005F4C24" w:rsidRDefault="004C2B0D">
                          <w:pPr>
                            <w:spacing w:after="0"/>
                            <w:textDirection w:val="btLr"/>
                          </w:pPr>
                          <w:r>
                            <w:rPr>
                              <w:color w:val="000000"/>
                              <w:sz w:val="16"/>
                            </w:rPr>
                            <w:t>Doc Info</w:t>
                          </w:r>
                        </w:p>
                        <w:p w:rsidR="005F4C24" w:rsidRDefault="004C2B0D">
                          <w:pPr>
                            <w:spacing w:after="0"/>
                            <w:textDirection w:val="btLr"/>
                          </w:pPr>
                          <w:r>
                            <w:rPr>
                              <w:color w:val="000000"/>
                              <w:sz w:val="16"/>
                            </w:rPr>
                            <w:t>Branding: true</w:t>
                          </w:r>
                        </w:p>
                        <w:p w:rsidR="005F4C24" w:rsidRDefault="004C2B0D">
                          <w:pPr>
                            <w:spacing w:after="0"/>
                            <w:textDirection w:val="btLr"/>
                          </w:pPr>
                          <w:proofErr w:type="spellStart"/>
                          <w:r>
                            <w:rPr>
                              <w:color w:val="000000"/>
                              <w:sz w:val="16"/>
                            </w:rPr>
                            <w:t>FirmNameShort</w:t>
                          </w:r>
                          <w:proofErr w:type="spellEnd"/>
                          <w:r>
                            <w:rPr>
                              <w:color w:val="000000"/>
                              <w:sz w:val="16"/>
                            </w:rPr>
                            <w:t>: DLA Piper</w:t>
                          </w:r>
                        </w:p>
                        <w:p w:rsidR="005F4C24" w:rsidRDefault="004C2B0D">
                          <w:pPr>
                            <w:spacing w:after="0"/>
                            <w:textDirection w:val="btLr"/>
                          </w:pPr>
                          <w:proofErr w:type="spellStart"/>
                          <w:r>
                            <w:rPr>
                              <w:color w:val="000000"/>
                              <w:sz w:val="16"/>
                            </w:rPr>
                            <w:t>IncludeAppendix</w:t>
                          </w:r>
                          <w:proofErr w:type="spellEnd"/>
                          <w:r>
                            <w:rPr>
                              <w:color w:val="000000"/>
                              <w:sz w:val="16"/>
                            </w:rPr>
                            <w:t>:</w:t>
                          </w:r>
                          <w:r>
                            <w:rPr>
                              <w:color w:val="000000"/>
                            </w:rPr>
                            <w:t xml:space="preserve"> false</w:t>
                          </w:r>
                        </w:p>
                        <w:p w:rsidR="005F4C24" w:rsidRDefault="004C2B0D">
                          <w:pPr>
                            <w:spacing w:after="0"/>
                            <w:textDirection w:val="btLr"/>
                          </w:pPr>
                          <w:proofErr w:type="spellStart"/>
                          <w:r>
                            <w:rPr>
                              <w:color w:val="000000"/>
                              <w:sz w:val="16"/>
                            </w:rPr>
                            <w:t>IncludeSchedules</w:t>
                          </w:r>
                          <w:proofErr w:type="spellEnd"/>
                          <w:r>
                            <w:rPr>
                              <w:color w:val="000000"/>
                              <w:sz w:val="16"/>
                            </w:rPr>
                            <w:t>: false</w:t>
                          </w:r>
                        </w:p>
                        <w:p w:rsidR="005F4C24" w:rsidRDefault="005F4C24">
                          <w:pPr>
                            <w:spacing w:after="0"/>
                            <w:textDirection w:val="btLr"/>
                          </w:pPr>
                        </w:p>
                        <w:p w:rsidR="005F4C24" w:rsidRDefault="005F4C24">
                          <w:pPr>
                            <w:spacing w:after="0"/>
                            <w:textDirection w:val="btLr"/>
                          </w:pPr>
                        </w:p>
                      </w:txbxContent>
                    </wps:txbx>
                    <wps:bodyPr spcFirstLastPara="1" wrap="square" lIns="91425" tIns="45700" rIns="91425" bIns="45700" anchor="t" anchorCtr="0">
                      <a:noAutofit/>
                    </wps:bodyPr>
                  </wps:wsp>
                </a:graphicData>
              </a:graphic>
            </wp:anchor>
          </w:drawing>
        </mc:Choice>
        <mc:Fallback>
          <w:pict>
            <v:rect id="Rectangle 61" o:spid="_x0000_s1056" style="position:absolute;margin-left:-5pt;margin-top:-29pt;width:51.5pt;height:2.5pt;flip:x;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" stroked="f">
              <v:textbox inset="2.53958mm,1.2694mm,2.53958mm,1.2694mm">
                <w:txbxContent>
                  <w:p w:rsidR="005F4C24" w:rsidRDefault="004C2B0D">
                    <w:pPr>
                      <w:spacing w:after="0"/>
                      <w:textDirection w:val="btLr"/>
                    </w:pPr>
                    <w:r>
                      <w:rPr>
                        <w:color w:val="000000"/>
                        <w:sz w:val="16"/>
                      </w:rPr>
                      <w:t>Doc Info</w:t>
                    </w:r>
                  </w:p>
                  <w:p w:rsidR="005F4C24" w:rsidRDefault="004C2B0D">
                    <w:pPr>
                      <w:spacing w:after="0"/>
                      <w:textDirection w:val="btLr"/>
                    </w:pPr>
                    <w:r>
                      <w:rPr>
                        <w:color w:val="000000"/>
                        <w:sz w:val="16"/>
                      </w:rPr>
                      <w:t>Branding: true</w:t>
                    </w:r>
                  </w:p>
                  <w:p w:rsidR="005F4C24" w:rsidRDefault="004C2B0D">
                    <w:pPr>
                      <w:spacing w:after="0"/>
                      <w:textDirection w:val="btLr"/>
                    </w:pPr>
                    <w:proofErr w:type="spellStart"/>
                    <w:r>
                      <w:rPr>
                        <w:color w:val="000000"/>
                        <w:sz w:val="16"/>
                      </w:rPr>
                      <w:t>FirmNameShort</w:t>
                    </w:r>
                    <w:proofErr w:type="spellEnd"/>
                    <w:r>
                      <w:rPr>
                        <w:color w:val="000000"/>
                        <w:sz w:val="16"/>
                      </w:rPr>
                      <w:t>: DLA Piper</w:t>
                    </w:r>
                  </w:p>
                  <w:p w:rsidR="005F4C24" w:rsidRDefault="004C2B0D">
                    <w:pPr>
                      <w:spacing w:after="0"/>
                      <w:textDirection w:val="btLr"/>
                    </w:pPr>
                    <w:proofErr w:type="spellStart"/>
                    <w:r>
                      <w:rPr>
                        <w:color w:val="000000"/>
                        <w:sz w:val="16"/>
                      </w:rPr>
                      <w:t>IncludeAppendix</w:t>
                    </w:r>
                    <w:proofErr w:type="spellEnd"/>
                    <w:r>
                      <w:rPr>
                        <w:color w:val="000000"/>
                        <w:sz w:val="16"/>
                      </w:rPr>
                      <w:t>:</w:t>
                    </w:r>
                    <w:r>
                      <w:rPr>
                        <w:color w:val="000000"/>
                      </w:rPr>
                      <w:t xml:space="preserve"> false</w:t>
                    </w:r>
                  </w:p>
                  <w:p w:rsidR="005F4C24" w:rsidRDefault="004C2B0D">
                    <w:pPr>
                      <w:spacing w:after="0"/>
                      <w:textDirection w:val="btLr"/>
                    </w:pPr>
                    <w:proofErr w:type="spellStart"/>
                    <w:r>
                      <w:rPr>
                        <w:color w:val="000000"/>
                        <w:sz w:val="16"/>
                      </w:rPr>
                      <w:t>IncludeSchedules</w:t>
                    </w:r>
                    <w:proofErr w:type="spellEnd"/>
                    <w:r>
                      <w:rPr>
                        <w:color w:val="000000"/>
                        <w:sz w:val="16"/>
                      </w:rPr>
                      <w:t>: false</w:t>
                    </w:r>
                  </w:p>
                  <w:p w:rsidR="005F4C24" w:rsidRDefault="005F4C24">
                    <w:pPr>
                      <w:spacing w:after="0"/>
                      <w:textDirection w:val="btLr"/>
                    </w:pPr>
                  </w:p>
                  <w:p w:rsidR="005F4C24" w:rsidRDefault="005F4C24">
                    <w:pPr>
                      <w:spacing w:after="0"/>
                      <w:textDirection w:val="btLr"/>
                    </w:pPr>
                  </w:p>
                </w:txbxContent>
              </v:textbox>
            </v:rect>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C24" w:rsidRDefault="004C2B0D">
    <w:pPr>
      <w:pBdr>
        <w:top w:val="nil"/>
        <w:left w:val="nil"/>
        <w:bottom w:val="nil"/>
        <w:right w:val="nil"/>
        <w:between w:val="nil"/>
      </w:pBdr>
      <w:tabs>
        <w:tab w:val="center" w:pos="4513"/>
        <w:tab w:val="right" w:pos="9026"/>
      </w:tabs>
      <w:spacing w:after="0"/>
      <w:rPr>
        <w:color w:val="000000"/>
      </w:rPr>
    </w:pPr>
    <w:r>
      <w:rPr>
        <w:noProof/>
        <w:color w:val="000000"/>
      </w:rPr>
      <mc:AlternateContent>
        <mc:Choice Requires="wpg">
          <w:drawing>
            <wp:anchor distT="0" distB="0" distL="114300" distR="114300" simplePos="0" relativeHeight="251665408" behindDoc="0" locked="0" layoutInCell="1" hidden="0" allowOverlap="1">
              <wp:simplePos x="0" y="0"/>
              <wp:positionH relativeFrom="page">
                <wp:posOffset>6291618</wp:posOffset>
              </wp:positionH>
              <wp:positionV relativeFrom="page">
                <wp:posOffset>-59284</wp:posOffset>
              </wp:positionV>
              <wp:extent cx="1259840" cy="1325479"/>
              <wp:effectExtent l="0" t="0" r="0" b="0"/>
              <wp:wrapNone/>
              <wp:docPr id="64" name="Group 64"/>
              <wp:cNvGraphicFramePr/>
              <a:graphic xmlns:a="http://schemas.openxmlformats.org/drawingml/2006/main">
                <a:graphicData uri="http://schemas.microsoft.com/office/word/2010/wordprocessingGroup">
                  <wpg:wgp>
                    <wpg:cNvGrpSpPr/>
                    <wpg:grpSpPr>
                      <a:xfrm>
                        <a:off x="0" y="0"/>
                        <a:ext cx="1259840" cy="1325479"/>
                        <a:chOff x="4716075" y="3117250"/>
                        <a:chExt cx="1259850" cy="1325500"/>
                      </a:xfrm>
                    </wpg:grpSpPr>
                    <wpg:grpSp>
                      <wpg:cNvPr id="25" name="Group 25"/>
                      <wpg:cNvGrpSpPr/>
                      <wpg:grpSpPr>
                        <a:xfrm>
                          <a:off x="4716080" y="3117261"/>
                          <a:ext cx="1259840" cy="1325479"/>
                          <a:chOff x="4716075" y="3117250"/>
                          <a:chExt cx="1259850" cy="1325500"/>
                        </a:xfrm>
                      </wpg:grpSpPr>
                      <wps:wsp>
                        <wps:cNvPr id="26" name="Rectangle 26"/>
                        <wps:cNvSpPr/>
                        <wps:spPr>
                          <a:xfrm>
                            <a:off x="4716075" y="3117250"/>
                            <a:ext cx="1259850" cy="1325500"/>
                          </a:xfrm>
                          <a:prstGeom prst="rect">
                            <a:avLst/>
                          </a:prstGeom>
                          <a:noFill/>
                          <a:ln>
                            <a:noFill/>
                          </a:ln>
                        </wps:spPr>
                        <wps:txbx>
                          <w:txbxContent>
                            <w:p w:rsidR="005F4C24" w:rsidRDefault="005F4C24">
                              <w:pPr>
                                <w:spacing w:after="0"/>
                                <w:textDirection w:val="btLr"/>
                              </w:pPr>
                            </w:p>
                          </w:txbxContent>
                        </wps:txbx>
                        <wps:bodyPr spcFirstLastPara="1" wrap="square" lIns="91425" tIns="91425" rIns="91425" bIns="91425" anchor="ctr" anchorCtr="0">
                          <a:noAutofit/>
                        </wps:bodyPr>
                      </wps:wsp>
                      <wpg:grpSp>
                        <wpg:cNvPr id="27" name="Group 27"/>
                        <wpg:cNvGrpSpPr/>
                        <wpg:grpSpPr>
                          <a:xfrm>
                            <a:off x="4716080" y="3117261"/>
                            <a:ext cx="1259840" cy="1325479"/>
                            <a:chOff x="-122521" y="-617069"/>
                            <a:chExt cx="1259651" cy="1325280"/>
                          </a:xfrm>
                        </wpg:grpSpPr>
                        <wps:wsp>
                          <wps:cNvPr id="28" name="Rectangle 28"/>
                          <wps:cNvSpPr/>
                          <wps:spPr>
                            <a:xfrm>
                              <a:off x="-122521" y="-617069"/>
                              <a:ext cx="1259650" cy="1325275"/>
                            </a:xfrm>
                            <a:prstGeom prst="rect">
                              <a:avLst/>
                            </a:prstGeom>
                            <a:noFill/>
                            <a:ln>
                              <a:noFill/>
                            </a:ln>
                          </wps:spPr>
                          <wps:txbx>
                            <w:txbxContent>
                              <w:p w:rsidR="005F4C24" w:rsidRDefault="005F4C24">
                                <w:pPr>
                                  <w:spacing w:after="0"/>
                                  <w:textDirection w:val="btLr"/>
                                </w:pPr>
                              </w:p>
                            </w:txbxContent>
                          </wps:txbx>
                          <wps:bodyPr spcFirstLastPara="1" wrap="square" lIns="91425" tIns="91425" rIns="91425" bIns="91425" anchor="ctr" anchorCtr="0">
                            <a:noAutofit/>
                          </wps:bodyPr>
                        </wps:wsp>
                        <wps:wsp>
                          <wps:cNvPr id="29" name="Isosceles Triangle 29"/>
                          <wps:cNvSpPr/>
                          <wps:spPr>
                            <a:xfrm rot="-5400000" flipH="1">
                              <a:off x="-122521" y="-551440"/>
                              <a:ext cx="1259651" cy="1259651"/>
                            </a:xfrm>
                            <a:prstGeom prst="triangle">
                              <a:avLst>
                                <a:gd name="adj" fmla="val 0"/>
                              </a:avLst>
                            </a:prstGeom>
                            <a:solidFill>
                              <a:srgbClr val="E62A4F">
                                <a:alpha val="0"/>
                              </a:srgbClr>
                            </a:solidFill>
                            <a:ln>
                              <a:noFill/>
                            </a:ln>
                          </wps:spPr>
                          <wps:txbx>
                            <w:txbxContent>
                              <w:p w:rsidR="005F4C24" w:rsidRDefault="005F4C24">
                                <w:pPr>
                                  <w:spacing w:after="0"/>
                                  <w:textDirection w:val="btLr"/>
                                </w:pPr>
                              </w:p>
                            </w:txbxContent>
                          </wps:txbx>
                          <wps:bodyPr spcFirstLastPara="1" wrap="square" lIns="91425" tIns="91425" rIns="91425" bIns="91425" anchor="ctr" anchorCtr="0">
                            <a:noAutofit/>
                          </wps:bodyPr>
                        </wps:wsp>
                        <wps:wsp>
                          <wps:cNvPr id="30" name="Rectangle 30"/>
                          <wps:cNvSpPr/>
                          <wps:spPr>
                            <a:xfrm rot="2703337">
                              <a:off x="185834" y="-231200"/>
                              <a:ext cx="1001184" cy="229445"/>
                            </a:xfrm>
                            <a:prstGeom prst="rect">
                              <a:avLst/>
                            </a:prstGeom>
                            <a:solidFill>
                              <a:srgbClr val="E62A4F">
                                <a:alpha val="0"/>
                              </a:srgbClr>
                            </a:solidFill>
                            <a:ln>
                              <a:noFill/>
                            </a:ln>
                          </wps:spPr>
                          <wps:txbx>
                            <w:txbxContent>
                              <w:p w:rsidR="005F4C24" w:rsidRDefault="004C2B0D">
                                <w:pPr>
                                  <w:jc w:val="center"/>
                                  <w:textDirection w:val="btLr"/>
                                </w:pPr>
                                <w:r>
                                  <w:rPr>
                                    <w:b/>
                                    <w:color w:val="FFFFFF"/>
                                  </w:rPr>
                                  <w:t>DRAFT</w:t>
                                </w:r>
                              </w:p>
                            </w:txbxContent>
                          </wps:txbx>
                          <wps:bodyPr spcFirstLastPara="1" wrap="square" lIns="91425" tIns="45700" rIns="91425" bIns="45700" anchor="t" anchorCtr="0">
                            <a:noAutofit/>
                          </wps:bodyPr>
                        </wps:wsp>
                      </wpg:grpSp>
                    </wpg:grpSp>
                  </wpg:wgp>
                </a:graphicData>
              </a:graphic>
            </wp:anchor>
          </w:drawing>
        </mc:Choice>
        <mc:Fallback>
          <w:pict>
            <v:group id="Group 64" o:spid="_x0000_s1057" style="position:absolute;margin-left:495.4pt;margin-top:-4.65pt;width:99.2pt;height:104.35pt;z-index:251665408;mso-position-horizontal-relative:page;mso-position-vertical-relative:page" coordorigin="47160,31172" coordsize="12598,13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">
              <v:group id="Group 25" o:spid="_x0000_s1058" style="position:absolute;left:47160;top:31172;width:12599;height:13255" coordorigin="47160,31172" coordsize="12598,1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26" o:spid="_x0000_s1059" style="position:absolute;left:47160;top:31172;width:12599;height:13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" filled="f" stroked="f">
                  <v:textbox inset="2.53958mm,2.53958mm,2.53958mm,2.53958mm">
                    <w:txbxContent>
                      <w:p w:rsidR="005F4C24" w:rsidRDefault="005F4C24">
                        <w:pPr>
                          <w:spacing w:after="0"/>
                          <w:textDirection w:val="btLr"/>
                        </w:pPr>
                      </w:p>
                    </w:txbxContent>
                  </v:textbox>
                </v:rect>
                <v:group id="Group 27" o:spid="_x0000_s1060" style="position:absolute;left:47160;top:31172;width:12599;height:13255" coordorigin="-1225,-6170" coordsize="12596,13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Rectangle 28" o:spid="_x0000_s1061" style="position:absolute;left:-1225;top:-6170;width:12596;height:13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" filled="f" stroked="f">
                    <v:textbox inset="2.53958mm,2.53958mm,2.53958mm,2.53958mm">
                      <w:txbxContent>
                        <w:p w:rsidR="005F4C24" w:rsidRDefault="005F4C24">
                          <w:pPr>
                            <w:spacing w:after="0"/>
                            <w:textDirection w:val="btLr"/>
                          </w:pPr>
                        </w:p>
                      </w:txbxContent>
                    </v:textbox>
                  </v:re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9" o:spid="_x0000_s1062"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" adj="0" fillcolor="#e62a4f" stroked="f">
                    <v:fill opacity="0"/>
                    <v:textbox inset="2.53958mm,2.53958mm,2.53958mm,2.53958mm">
                      <w:txbxContent>
                        <w:p w:rsidR="005F4C24" w:rsidRDefault="005F4C24">
                          <w:pPr>
                            <w:spacing w:after="0"/>
                            <w:textDirection w:val="btLr"/>
                          </w:pPr>
                        </w:p>
                      </w:txbxContent>
                    </v:textbox>
                  </v:shape>
                  <v:rect id="Rectangle 30" o:spid="_x0000_s1063"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" fillcolor="#e62a4f" stroked="f">
                    <v:fill opacity="0"/>
                    <v:textbox inset="2.53958mm,1.2694mm,2.53958mm,1.2694mm">
                      <w:txbxContent>
                        <w:p w:rsidR="005F4C24" w:rsidRDefault="004C2B0D">
                          <w:pPr>
                            <w:jc w:val="center"/>
                            <w:textDirection w:val="btLr"/>
                          </w:pPr>
                          <w:r>
                            <w:rPr>
                              <w:b/>
                              <w:color w:val="FFFFFF"/>
                            </w:rPr>
                            <w:t>DRAFT</w:t>
                          </w:r>
                        </w:p>
                      </w:txbxContent>
                    </v:textbox>
                  </v:rect>
                </v:group>
              </v:group>
              <w10:wrap anchorx="page" anchory="page"/>
            </v:group>
          </w:pict>
        </mc:Fallback>
      </mc:AlternateContent>
    </w:r>
    <w:r>
      <w:rPr>
        <w:noProof/>
      </w:rPr>
      <mc:AlternateContent>
        <mc:Choice Requires="wps">
          <w:drawing>
            <wp:anchor distT="0" distB="0" distL="114300" distR="114300" simplePos="0" relativeHeight="251666432" behindDoc="0" locked="0" layoutInCell="1" hidden="0" allowOverlap="1">
              <wp:simplePos x="0" y="0"/>
              <wp:positionH relativeFrom="column">
                <wp:posOffset>-63499</wp:posOffset>
              </wp:positionH>
              <wp:positionV relativeFrom="paragraph">
                <wp:posOffset>-368299</wp:posOffset>
              </wp:positionV>
              <wp:extent cx="654050" cy="31750"/>
              <wp:effectExtent l="0" t="0" r="0" b="0"/>
              <wp:wrapNone/>
              <wp:docPr id="57" name="Rectangle 57"/>
              <wp:cNvGraphicFramePr/>
              <a:graphic xmlns:a="http://schemas.openxmlformats.org/drawingml/2006/main">
                <a:graphicData uri="http://schemas.microsoft.com/office/word/2010/wordprocessingShape">
                  <wps:wsp>
                    <wps:cNvSpPr/>
                    <wps:spPr>
                      <a:xfrm flipH="1">
                        <a:off x="5028500" y="3773650"/>
                        <a:ext cx="635000" cy="12700"/>
                      </a:xfrm>
                      <a:prstGeom prst="rect">
                        <a:avLst/>
                      </a:prstGeom>
                      <a:solidFill>
                        <a:srgbClr val="FFFFFF"/>
                      </a:solidFill>
                      <a:ln>
                        <a:noFill/>
                      </a:ln>
                    </wps:spPr>
                    <wps:txbx>
                      <w:txbxContent>
                        <w:p w:rsidR="005F4C24" w:rsidRDefault="004C2B0D">
                          <w:pPr>
                            <w:spacing w:after="0"/>
                            <w:textDirection w:val="btLr"/>
                          </w:pPr>
                          <w:r>
                            <w:rPr>
                              <w:color w:val="000000"/>
                              <w:sz w:val="16"/>
                            </w:rPr>
                            <w:t>Doc Info</w:t>
                          </w:r>
                        </w:p>
                        <w:p w:rsidR="005F4C24" w:rsidRDefault="004C2B0D">
                          <w:pPr>
                            <w:spacing w:after="0"/>
                            <w:textDirection w:val="btLr"/>
                          </w:pPr>
                          <w:r>
                            <w:rPr>
                              <w:color w:val="000000"/>
                              <w:sz w:val="16"/>
                            </w:rPr>
                            <w:t>Branding: true</w:t>
                          </w:r>
                        </w:p>
                        <w:p w:rsidR="005F4C24" w:rsidRDefault="004C2B0D">
                          <w:pPr>
                            <w:spacing w:after="0"/>
                            <w:textDirection w:val="btLr"/>
                          </w:pPr>
                          <w:proofErr w:type="spellStart"/>
                          <w:r>
                            <w:rPr>
                              <w:color w:val="000000"/>
                              <w:sz w:val="16"/>
                            </w:rPr>
                            <w:t>FirmNameShort</w:t>
                          </w:r>
                          <w:proofErr w:type="spellEnd"/>
                          <w:r>
                            <w:rPr>
                              <w:color w:val="000000"/>
                              <w:sz w:val="16"/>
                            </w:rPr>
                            <w:t>: DLA Piper</w:t>
                          </w:r>
                        </w:p>
                        <w:p w:rsidR="005F4C24" w:rsidRDefault="004C2B0D">
                          <w:pPr>
                            <w:spacing w:after="0"/>
                            <w:textDirection w:val="btLr"/>
                          </w:pPr>
                          <w:proofErr w:type="spellStart"/>
                          <w:r>
                            <w:rPr>
                              <w:color w:val="000000"/>
                              <w:sz w:val="16"/>
                            </w:rPr>
                            <w:t>IncludeAppendix</w:t>
                          </w:r>
                          <w:proofErr w:type="spellEnd"/>
                          <w:r>
                            <w:rPr>
                              <w:color w:val="000000"/>
                              <w:sz w:val="16"/>
                            </w:rPr>
                            <w:t>:</w:t>
                          </w:r>
                          <w:r>
                            <w:rPr>
                              <w:color w:val="000000"/>
                            </w:rPr>
                            <w:t xml:space="preserve"> false</w:t>
                          </w:r>
                        </w:p>
                        <w:p w:rsidR="005F4C24" w:rsidRDefault="004C2B0D">
                          <w:pPr>
                            <w:spacing w:after="0"/>
                            <w:textDirection w:val="btLr"/>
                          </w:pPr>
                          <w:proofErr w:type="spellStart"/>
                          <w:r>
                            <w:rPr>
                              <w:color w:val="000000"/>
                              <w:sz w:val="16"/>
                            </w:rPr>
                            <w:t>IncludeSchedules</w:t>
                          </w:r>
                          <w:proofErr w:type="spellEnd"/>
                          <w:r>
                            <w:rPr>
                              <w:color w:val="000000"/>
                              <w:sz w:val="16"/>
                            </w:rPr>
                            <w:t>: false</w:t>
                          </w:r>
                        </w:p>
                        <w:p w:rsidR="005F4C24" w:rsidRDefault="005F4C24">
                          <w:pPr>
                            <w:spacing w:after="0"/>
                            <w:textDirection w:val="btLr"/>
                          </w:pPr>
                        </w:p>
                        <w:p w:rsidR="005F4C24" w:rsidRDefault="005F4C24">
                          <w:pPr>
                            <w:spacing w:after="0"/>
                            <w:textDirection w:val="btLr"/>
                          </w:pPr>
                        </w:p>
                      </w:txbxContent>
                    </wps:txbx>
                    <wps:bodyPr spcFirstLastPara="1" wrap="square" lIns="91425" tIns="45700" rIns="91425" bIns="45700" anchor="t" anchorCtr="0">
                      <a:noAutofit/>
                    </wps:bodyPr>
                  </wps:wsp>
                </a:graphicData>
              </a:graphic>
            </wp:anchor>
          </w:drawing>
        </mc:Choice>
        <mc:Fallback>
          <w:pict>
            <v:rect id="Rectangle 57" o:spid="_x0000_s1064" style="position:absolute;margin-left:-5pt;margin-top:-29pt;width:51.5pt;height:2.5pt;flip:x;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" stroked="f">
              <v:textbox inset="2.53958mm,1.2694mm,2.53958mm,1.2694mm">
                <w:txbxContent>
                  <w:p w:rsidR="005F4C24" w:rsidRDefault="004C2B0D">
                    <w:pPr>
                      <w:spacing w:after="0"/>
                      <w:textDirection w:val="btLr"/>
                    </w:pPr>
                    <w:r>
                      <w:rPr>
                        <w:color w:val="000000"/>
                        <w:sz w:val="16"/>
                      </w:rPr>
                      <w:t>Doc Info</w:t>
                    </w:r>
                  </w:p>
                  <w:p w:rsidR="005F4C24" w:rsidRDefault="004C2B0D">
                    <w:pPr>
                      <w:spacing w:after="0"/>
                      <w:textDirection w:val="btLr"/>
                    </w:pPr>
                    <w:r>
                      <w:rPr>
                        <w:color w:val="000000"/>
                        <w:sz w:val="16"/>
                      </w:rPr>
                      <w:t>Branding: true</w:t>
                    </w:r>
                  </w:p>
                  <w:p w:rsidR="005F4C24" w:rsidRDefault="004C2B0D">
                    <w:pPr>
                      <w:spacing w:after="0"/>
                      <w:textDirection w:val="btLr"/>
                    </w:pPr>
                    <w:proofErr w:type="spellStart"/>
                    <w:r>
                      <w:rPr>
                        <w:color w:val="000000"/>
                        <w:sz w:val="16"/>
                      </w:rPr>
                      <w:t>FirmNameShort</w:t>
                    </w:r>
                    <w:proofErr w:type="spellEnd"/>
                    <w:r>
                      <w:rPr>
                        <w:color w:val="000000"/>
                        <w:sz w:val="16"/>
                      </w:rPr>
                      <w:t>: DLA Piper</w:t>
                    </w:r>
                  </w:p>
                  <w:p w:rsidR="005F4C24" w:rsidRDefault="004C2B0D">
                    <w:pPr>
                      <w:spacing w:after="0"/>
                      <w:textDirection w:val="btLr"/>
                    </w:pPr>
                    <w:proofErr w:type="spellStart"/>
                    <w:r>
                      <w:rPr>
                        <w:color w:val="000000"/>
                        <w:sz w:val="16"/>
                      </w:rPr>
                      <w:t>IncludeAppendix</w:t>
                    </w:r>
                    <w:proofErr w:type="spellEnd"/>
                    <w:r>
                      <w:rPr>
                        <w:color w:val="000000"/>
                        <w:sz w:val="16"/>
                      </w:rPr>
                      <w:t>:</w:t>
                    </w:r>
                    <w:r>
                      <w:rPr>
                        <w:color w:val="000000"/>
                      </w:rPr>
                      <w:t xml:space="preserve"> false</w:t>
                    </w:r>
                  </w:p>
                  <w:p w:rsidR="005F4C24" w:rsidRDefault="004C2B0D">
                    <w:pPr>
                      <w:spacing w:after="0"/>
                      <w:textDirection w:val="btLr"/>
                    </w:pPr>
                    <w:proofErr w:type="spellStart"/>
                    <w:r>
                      <w:rPr>
                        <w:color w:val="000000"/>
                        <w:sz w:val="16"/>
                      </w:rPr>
                      <w:t>IncludeSchedules</w:t>
                    </w:r>
                    <w:proofErr w:type="spellEnd"/>
                    <w:r>
                      <w:rPr>
                        <w:color w:val="000000"/>
                        <w:sz w:val="16"/>
                      </w:rPr>
                      <w:t>: false</w:t>
                    </w:r>
                  </w:p>
                  <w:p w:rsidR="005F4C24" w:rsidRDefault="005F4C24">
                    <w:pPr>
                      <w:spacing w:after="0"/>
                      <w:textDirection w:val="btLr"/>
                    </w:pPr>
                  </w:p>
                  <w:p w:rsidR="005F4C24" w:rsidRDefault="005F4C24">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0109"/>
    <w:multiLevelType w:val="multilevel"/>
    <w:tmpl w:val="EB6668DC"/>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1" w15:restartNumberingAfterBreak="0">
    <w:nsid w:val="00945745"/>
    <w:multiLevelType w:val="multilevel"/>
    <w:tmpl w:val="8904DC84"/>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 w15:restartNumberingAfterBreak="0">
    <w:nsid w:val="03DE1BAD"/>
    <w:multiLevelType w:val="multilevel"/>
    <w:tmpl w:val="DDA456F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3" w15:restartNumberingAfterBreak="0">
    <w:nsid w:val="07B90286"/>
    <w:multiLevelType w:val="multilevel"/>
    <w:tmpl w:val="EE2A8562"/>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4" w15:restartNumberingAfterBreak="0">
    <w:nsid w:val="0C9E4C99"/>
    <w:multiLevelType w:val="multilevel"/>
    <w:tmpl w:val="C032CD10"/>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5" w15:restartNumberingAfterBreak="0">
    <w:nsid w:val="0DE40C18"/>
    <w:multiLevelType w:val="multilevel"/>
    <w:tmpl w:val="2DB85B9C"/>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6" w15:restartNumberingAfterBreak="0">
    <w:nsid w:val="14194036"/>
    <w:multiLevelType w:val="multilevel"/>
    <w:tmpl w:val="4BDA57CE"/>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7" w15:restartNumberingAfterBreak="0">
    <w:nsid w:val="14E54744"/>
    <w:multiLevelType w:val="multilevel"/>
    <w:tmpl w:val="72685FCE"/>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8" w15:restartNumberingAfterBreak="0">
    <w:nsid w:val="16FD2AD4"/>
    <w:multiLevelType w:val="multilevel"/>
    <w:tmpl w:val="A34E974E"/>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9" w15:restartNumberingAfterBreak="0">
    <w:nsid w:val="19B20143"/>
    <w:multiLevelType w:val="multilevel"/>
    <w:tmpl w:val="4722462E"/>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0" w15:restartNumberingAfterBreak="0">
    <w:nsid w:val="1C093432"/>
    <w:multiLevelType w:val="multilevel"/>
    <w:tmpl w:val="45961C58"/>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1" w15:restartNumberingAfterBreak="0">
    <w:nsid w:val="1D502BF3"/>
    <w:multiLevelType w:val="multilevel"/>
    <w:tmpl w:val="7D465776"/>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2" w15:restartNumberingAfterBreak="0">
    <w:nsid w:val="1E943CBD"/>
    <w:multiLevelType w:val="multilevel"/>
    <w:tmpl w:val="DF0C781A"/>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3" w15:restartNumberingAfterBreak="0">
    <w:nsid w:val="22F67ECB"/>
    <w:multiLevelType w:val="multilevel"/>
    <w:tmpl w:val="0504DB34"/>
    <w:lvl w:ilvl="0">
      <w:start w:val="1"/>
      <w:numFmt w:val="decimal"/>
      <w:lvlText w:val="Appendix %1"/>
      <w:lvlJc w:val="left"/>
      <w:pPr>
        <w:ind w:left="0" w:firstLine="0"/>
      </w:pPr>
      <w:rPr>
        <w:smallCaps w:val="0"/>
      </w:rPr>
    </w:lvl>
    <w:lvl w:ilvl="1">
      <w:start w:val="1"/>
      <w:numFmt w:val="decimal"/>
      <w:lvlText w:val="Part %2"/>
      <w:lvlJc w:val="left"/>
      <w:pPr>
        <w:ind w:left="0" w:firstLine="0"/>
      </w:pPr>
      <w:rPr>
        <w:smallCaps w:val="0"/>
      </w:rPr>
    </w:lvl>
    <w:lvl w:ilvl="2">
      <w:start w:val="1"/>
      <w:numFmt w:val="decimal"/>
      <w:lvlText w:val=""/>
      <w:lvlJc w:val="left"/>
      <w:pPr>
        <w:ind w:left="0" w:firstLine="0"/>
      </w:pPr>
      <w:rPr>
        <w:smallCaps w:val="0"/>
      </w:rPr>
    </w:lvl>
    <w:lvl w:ilvl="3">
      <w:start w:val="1"/>
      <w:numFmt w:val="decimal"/>
      <w:lvlText w:val=""/>
      <w:lvlJc w:val="left"/>
      <w:pPr>
        <w:ind w:left="0" w:firstLine="0"/>
      </w:pPr>
      <w:rPr>
        <w:smallCaps w:val="0"/>
      </w:rPr>
    </w:lvl>
    <w:lvl w:ilvl="4">
      <w:start w:val="1"/>
      <w:numFmt w:val="decimal"/>
      <w:lvlText w:val=""/>
      <w:lvlJc w:val="left"/>
      <w:pPr>
        <w:ind w:left="0" w:firstLine="0"/>
      </w:pPr>
      <w:rPr>
        <w:smallCaps w:val="0"/>
      </w:rPr>
    </w:lvl>
    <w:lvl w:ilvl="5">
      <w:start w:val="1"/>
      <w:numFmt w:val="decimal"/>
      <w:lvlText w:val=""/>
      <w:lvlJc w:val="left"/>
      <w:pPr>
        <w:ind w:left="0" w:firstLine="0"/>
      </w:pPr>
      <w:rPr>
        <w:smallCaps w:val="0"/>
      </w:rPr>
    </w:lvl>
    <w:lvl w:ilvl="6">
      <w:start w:val="1"/>
      <w:numFmt w:val="decimal"/>
      <w:lvlText w:val=""/>
      <w:lvlJc w:val="left"/>
      <w:pPr>
        <w:ind w:left="0" w:firstLine="0"/>
      </w:pPr>
      <w:rPr>
        <w:smallCaps w:val="0"/>
      </w:rPr>
    </w:lvl>
    <w:lvl w:ilvl="7">
      <w:start w:val="1"/>
      <w:numFmt w:val="decimal"/>
      <w:lvlText w:val=""/>
      <w:lvlJc w:val="left"/>
      <w:pPr>
        <w:ind w:left="0" w:firstLine="0"/>
      </w:pPr>
      <w:rPr>
        <w:smallCaps w:val="0"/>
      </w:rPr>
    </w:lvl>
    <w:lvl w:ilvl="8">
      <w:start w:val="1"/>
      <w:numFmt w:val="decimal"/>
      <w:lvlText w:val=""/>
      <w:lvlJc w:val="left"/>
      <w:pPr>
        <w:ind w:left="0" w:firstLine="0"/>
      </w:pPr>
      <w:rPr>
        <w:smallCaps w:val="0"/>
      </w:rPr>
    </w:lvl>
  </w:abstractNum>
  <w:abstractNum w:abstractNumId="14" w15:restartNumberingAfterBreak="0">
    <w:nsid w:val="23F05F0E"/>
    <w:multiLevelType w:val="multilevel"/>
    <w:tmpl w:val="C5D27F6A"/>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5" w15:restartNumberingAfterBreak="0">
    <w:nsid w:val="29DE6841"/>
    <w:multiLevelType w:val="multilevel"/>
    <w:tmpl w:val="BE926308"/>
    <w:lvl w:ilvl="0">
      <w:start w:val="1"/>
      <w:numFmt w:val="decimal"/>
      <w:lvlText w:val="%1"/>
      <w:lvlJc w:val="left"/>
      <w:pPr>
        <w:ind w:left="720" w:hanging="720"/>
      </w:pPr>
      <w:rPr>
        <w:smallCaps w:val="0"/>
      </w:rPr>
    </w:lvl>
    <w:lvl w:ilvl="1">
      <w:start w:val="1"/>
      <w:numFmt w:val="decimal"/>
      <w:lvlText w:val="%1.%2"/>
      <w:lvlJc w:val="left"/>
      <w:pPr>
        <w:ind w:left="1440" w:hanging="720"/>
      </w:pPr>
      <w:rPr>
        <w:smallCaps w:val="0"/>
      </w:rPr>
    </w:lvl>
    <w:lvl w:ilvl="2">
      <w:start w:val="1"/>
      <w:numFmt w:val="lowerLetter"/>
      <w:lvlText w:val="(%3)"/>
      <w:lvlJc w:val="left"/>
      <w:pPr>
        <w:ind w:left="2160" w:hanging="720"/>
      </w:pPr>
      <w:rPr>
        <w:smallCaps w:val="0"/>
      </w:rPr>
    </w:lvl>
    <w:lvl w:ilvl="3">
      <w:start w:val="1"/>
      <w:numFmt w:val="lowerRoman"/>
      <w:lvlText w:val="(%4)"/>
      <w:lvlJc w:val="left"/>
      <w:pPr>
        <w:ind w:left="2880" w:hanging="720"/>
      </w:pPr>
      <w:rPr>
        <w:smallCaps w:val="0"/>
      </w:rPr>
    </w:lvl>
    <w:lvl w:ilvl="4">
      <w:start w:val="1"/>
      <w:numFmt w:val="upperLetter"/>
      <w:lvlText w:val="(%5)"/>
      <w:lvlJc w:val="left"/>
      <w:pPr>
        <w:ind w:left="3600" w:hanging="720"/>
      </w:pPr>
      <w:rPr>
        <w:smallCaps w:val="0"/>
      </w:rPr>
    </w:lvl>
    <w:lvl w:ilvl="5">
      <w:start w:val="1"/>
      <w:numFmt w:val="decimal"/>
      <w:lvlText w:val=""/>
      <w:lvlJc w:val="left"/>
      <w:pPr>
        <w:ind w:left="4320" w:hanging="720"/>
      </w:pPr>
      <w:rPr>
        <w:smallCaps w:val="0"/>
      </w:rPr>
    </w:lvl>
    <w:lvl w:ilvl="6">
      <w:start w:val="1"/>
      <w:numFmt w:val="decimal"/>
      <w:lvlText w:val=""/>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16" w15:restartNumberingAfterBreak="0">
    <w:nsid w:val="30A320DD"/>
    <w:multiLevelType w:val="multilevel"/>
    <w:tmpl w:val="06AAF718"/>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7" w15:restartNumberingAfterBreak="0">
    <w:nsid w:val="377826CD"/>
    <w:multiLevelType w:val="multilevel"/>
    <w:tmpl w:val="72BE6006"/>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18" w15:restartNumberingAfterBreak="0">
    <w:nsid w:val="38FC5439"/>
    <w:multiLevelType w:val="multilevel"/>
    <w:tmpl w:val="A704D39C"/>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9" w15:restartNumberingAfterBreak="0">
    <w:nsid w:val="391D49E6"/>
    <w:multiLevelType w:val="multilevel"/>
    <w:tmpl w:val="843427D8"/>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0" w15:restartNumberingAfterBreak="0">
    <w:nsid w:val="40AD7841"/>
    <w:multiLevelType w:val="multilevel"/>
    <w:tmpl w:val="2DD6B786"/>
    <w:lvl w:ilvl="0">
      <w:start w:val="1"/>
      <w:numFmt w:val="bullet"/>
      <w:lvlText w:val="●"/>
      <w:lvlJc w:val="left"/>
      <w:pPr>
        <w:ind w:left="720" w:hanging="720"/>
      </w:pPr>
      <w:rPr>
        <w:rFonts w:ascii="Noto Sans Symbols" w:eastAsia="Noto Sans Symbols" w:hAnsi="Noto Sans Symbols" w:cs="Noto Sans Symbols"/>
        <w:smallCaps w:val="0"/>
      </w:rPr>
    </w:lvl>
    <w:lvl w:ilvl="1">
      <w:start w:val="1"/>
      <w:numFmt w:val="bullet"/>
      <w:lvlText w:val="●"/>
      <w:lvlJc w:val="left"/>
      <w:pPr>
        <w:ind w:left="1440" w:hanging="720"/>
      </w:pPr>
      <w:rPr>
        <w:rFonts w:ascii="Noto Sans Symbols" w:eastAsia="Noto Sans Symbols" w:hAnsi="Noto Sans Symbols" w:cs="Noto Sans Symbols"/>
        <w:smallCaps w:val="0"/>
      </w:rPr>
    </w:lvl>
    <w:lvl w:ilvl="2">
      <w:start w:val="1"/>
      <w:numFmt w:val="bullet"/>
      <w:lvlText w:val="●"/>
      <w:lvlJc w:val="left"/>
      <w:pPr>
        <w:ind w:left="2160" w:hanging="720"/>
      </w:pPr>
      <w:rPr>
        <w:rFonts w:ascii="Noto Sans Symbols" w:eastAsia="Noto Sans Symbols" w:hAnsi="Noto Sans Symbols" w:cs="Noto Sans Symbols"/>
        <w:smallCaps w:val="0"/>
      </w:rPr>
    </w:lvl>
    <w:lvl w:ilvl="3">
      <w:start w:val="1"/>
      <w:numFmt w:val="bullet"/>
      <w:lvlText w:val="●"/>
      <w:lvlJc w:val="left"/>
      <w:pPr>
        <w:ind w:left="2880" w:hanging="720"/>
      </w:pPr>
      <w:rPr>
        <w:rFonts w:ascii="Noto Sans Symbols" w:eastAsia="Noto Sans Symbols" w:hAnsi="Noto Sans Symbols" w:cs="Noto Sans Symbols"/>
        <w:smallCaps w:val="0"/>
      </w:rPr>
    </w:lvl>
    <w:lvl w:ilvl="4">
      <w:start w:val="1"/>
      <w:numFmt w:val="bullet"/>
      <w:lvlText w:val="●"/>
      <w:lvlJc w:val="left"/>
      <w:pPr>
        <w:ind w:left="3600" w:hanging="720"/>
      </w:pPr>
      <w:rPr>
        <w:rFonts w:ascii="Noto Sans Symbols" w:eastAsia="Noto Sans Symbols" w:hAnsi="Noto Sans Symbols" w:cs="Noto Sans Symbols"/>
        <w:smallCaps w:val="0"/>
      </w:rPr>
    </w:lvl>
    <w:lvl w:ilvl="5">
      <w:start w:val="1"/>
      <w:numFmt w:val="decimal"/>
      <w:lvlText w:val=""/>
      <w:lvlJc w:val="left"/>
      <w:pPr>
        <w:ind w:left="3600" w:hanging="720"/>
      </w:pPr>
      <w:rPr>
        <w:smallCaps w:val="0"/>
      </w:rPr>
    </w:lvl>
    <w:lvl w:ilvl="6">
      <w:start w:val="1"/>
      <w:numFmt w:val="decimal"/>
      <w:lvlText w:val=""/>
      <w:lvlJc w:val="left"/>
      <w:pPr>
        <w:ind w:left="4320" w:hanging="720"/>
      </w:pPr>
      <w:rPr>
        <w:smallCaps w:val="0"/>
      </w:rPr>
    </w:lvl>
    <w:lvl w:ilvl="7">
      <w:start w:val="1"/>
      <w:numFmt w:val="bullet"/>
      <w:lvlText w:val=""/>
      <w:lvlJc w:val="left"/>
      <w:pPr>
        <w:ind w:left="4320" w:hanging="720"/>
      </w:pPr>
      <w:rPr>
        <w:smallCaps w:val="0"/>
      </w:rPr>
    </w:lvl>
    <w:lvl w:ilvl="8">
      <w:start w:val="1"/>
      <w:numFmt w:val="bullet"/>
      <w:lvlText w:val=""/>
      <w:lvlJc w:val="left"/>
      <w:pPr>
        <w:ind w:left="4320" w:hanging="720"/>
      </w:pPr>
      <w:rPr>
        <w:smallCaps w:val="0"/>
      </w:rPr>
    </w:lvl>
  </w:abstractNum>
  <w:abstractNum w:abstractNumId="21" w15:restartNumberingAfterBreak="0">
    <w:nsid w:val="4737491A"/>
    <w:multiLevelType w:val="multilevel"/>
    <w:tmpl w:val="5F4684E0"/>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2" w15:restartNumberingAfterBreak="0">
    <w:nsid w:val="48F069B1"/>
    <w:multiLevelType w:val="multilevel"/>
    <w:tmpl w:val="E4DA1454"/>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3" w15:restartNumberingAfterBreak="0">
    <w:nsid w:val="49852528"/>
    <w:multiLevelType w:val="multilevel"/>
    <w:tmpl w:val="7348FA30"/>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4" w15:restartNumberingAfterBreak="0">
    <w:nsid w:val="49FE47C0"/>
    <w:multiLevelType w:val="multilevel"/>
    <w:tmpl w:val="8B5E070C"/>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25" w15:restartNumberingAfterBreak="0">
    <w:nsid w:val="50FA51D3"/>
    <w:multiLevelType w:val="multilevel"/>
    <w:tmpl w:val="B358E9D0"/>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6" w15:restartNumberingAfterBreak="0">
    <w:nsid w:val="5F004D55"/>
    <w:multiLevelType w:val="multilevel"/>
    <w:tmpl w:val="EC9CBB06"/>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7" w15:restartNumberingAfterBreak="0">
    <w:nsid w:val="60586C53"/>
    <w:multiLevelType w:val="multilevel"/>
    <w:tmpl w:val="FB3CCF3E"/>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8" w15:restartNumberingAfterBreak="0">
    <w:nsid w:val="65AA6DA1"/>
    <w:multiLevelType w:val="multilevel"/>
    <w:tmpl w:val="F5E87ED0"/>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9" w15:restartNumberingAfterBreak="0">
    <w:nsid w:val="68E90A7F"/>
    <w:multiLevelType w:val="multilevel"/>
    <w:tmpl w:val="CC080CB2"/>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30" w15:restartNumberingAfterBreak="0">
    <w:nsid w:val="690540D6"/>
    <w:multiLevelType w:val="multilevel"/>
    <w:tmpl w:val="2B0CDD00"/>
    <w:lvl w:ilvl="0">
      <w:start w:val="1"/>
      <w:numFmt w:val="decimal"/>
      <w:lvlText w:val="Appendix %1"/>
      <w:lvlJc w:val="left"/>
      <w:pPr>
        <w:ind w:left="0" w:firstLine="0"/>
      </w:pPr>
      <w:rPr>
        <w:smallCaps w:val="0"/>
      </w:rPr>
    </w:lvl>
    <w:lvl w:ilvl="1">
      <w:start w:val="1"/>
      <w:numFmt w:val="decimal"/>
      <w:lvlText w:val="Part %2"/>
      <w:lvlJc w:val="left"/>
      <w:pPr>
        <w:ind w:left="0" w:firstLine="0"/>
      </w:pPr>
      <w:rPr>
        <w:smallCaps w:val="0"/>
      </w:rPr>
    </w:lvl>
    <w:lvl w:ilvl="2">
      <w:start w:val="1"/>
      <w:numFmt w:val="decimal"/>
      <w:lvlText w:val=""/>
      <w:lvlJc w:val="left"/>
      <w:pPr>
        <w:ind w:left="0" w:firstLine="0"/>
      </w:pPr>
      <w:rPr>
        <w:smallCaps w:val="0"/>
      </w:rPr>
    </w:lvl>
    <w:lvl w:ilvl="3">
      <w:start w:val="1"/>
      <w:numFmt w:val="decimal"/>
      <w:lvlText w:val=""/>
      <w:lvlJc w:val="left"/>
      <w:pPr>
        <w:ind w:left="0" w:firstLine="0"/>
      </w:pPr>
      <w:rPr>
        <w:smallCaps w:val="0"/>
      </w:rPr>
    </w:lvl>
    <w:lvl w:ilvl="4">
      <w:start w:val="1"/>
      <w:numFmt w:val="decimal"/>
      <w:lvlText w:val=""/>
      <w:lvlJc w:val="left"/>
      <w:pPr>
        <w:ind w:left="0" w:firstLine="0"/>
      </w:pPr>
      <w:rPr>
        <w:smallCaps w:val="0"/>
      </w:rPr>
    </w:lvl>
    <w:lvl w:ilvl="5">
      <w:start w:val="1"/>
      <w:numFmt w:val="decimal"/>
      <w:lvlText w:val=""/>
      <w:lvlJc w:val="left"/>
      <w:pPr>
        <w:ind w:left="0" w:firstLine="0"/>
      </w:pPr>
      <w:rPr>
        <w:smallCaps w:val="0"/>
      </w:rPr>
    </w:lvl>
    <w:lvl w:ilvl="6">
      <w:start w:val="1"/>
      <w:numFmt w:val="decimal"/>
      <w:lvlText w:val=""/>
      <w:lvlJc w:val="left"/>
      <w:pPr>
        <w:ind w:left="0" w:firstLine="0"/>
      </w:pPr>
      <w:rPr>
        <w:smallCaps w:val="0"/>
      </w:rPr>
    </w:lvl>
    <w:lvl w:ilvl="7">
      <w:start w:val="1"/>
      <w:numFmt w:val="decimal"/>
      <w:lvlText w:val=""/>
      <w:lvlJc w:val="left"/>
      <w:pPr>
        <w:ind w:left="0" w:firstLine="0"/>
      </w:pPr>
      <w:rPr>
        <w:smallCaps w:val="0"/>
      </w:rPr>
    </w:lvl>
    <w:lvl w:ilvl="8">
      <w:start w:val="1"/>
      <w:numFmt w:val="decimal"/>
      <w:lvlText w:val=""/>
      <w:lvlJc w:val="left"/>
      <w:pPr>
        <w:ind w:left="0" w:firstLine="0"/>
      </w:pPr>
      <w:rPr>
        <w:smallCaps w:val="0"/>
      </w:rPr>
    </w:lvl>
  </w:abstractNum>
  <w:abstractNum w:abstractNumId="31" w15:restartNumberingAfterBreak="0">
    <w:nsid w:val="6A53409C"/>
    <w:multiLevelType w:val="multilevel"/>
    <w:tmpl w:val="D5440D26"/>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32" w15:restartNumberingAfterBreak="0">
    <w:nsid w:val="6B4E6C5F"/>
    <w:multiLevelType w:val="multilevel"/>
    <w:tmpl w:val="75EEC764"/>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33" w15:restartNumberingAfterBreak="0">
    <w:nsid w:val="7001170F"/>
    <w:multiLevelType w:val="multilevel"/>
    <w:tmpl w:val="7C44B0C6"/>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34" w15:restartNumberingAfterBreak="0">
    <w:nsid w:val="7B07101A"/>
    <w:multiLevelType w:val="multilevel"/>
    <w:tmpl w:val="E9EEEE9A"/>
    <w:lvl w:ilvl="0">
      <w:start w:val="1"/>
      <w:numFmt w:val="upperLetter"/>
      <w:lvlText w:val="%1"/>
      <w:lvlJc w:val="left"/>
      <w:pPr>
        <w:ind w:left="720" w:hanging="720"/>
      </w:pPr>
      <w:rPr>
        <w:smallCaps w:val="0"/>
      </w:rPr>
    </w:lvl>
    <w:lvl w:ilvl="1">
      <w:start w:val="1"/>
      <w:numFmt w:val="lowerRoman"/>
      <w:lvlText w:val="(%2)"/>
      <w:lvlJc w:val="left"/>
      <w:pPr>
        <w:ind w:left="1440" w:hanging="720"/>
      </w:pPr>
      <w:rPr>
        <w:smallCaps w:val="0"/>
      </w:rPr>
    </w:lvl>
    <w:lvl w:ilvl="2">
      <w:start w:val="1"/>
      <w:numFmt w:val="lowerLetter"/>
      <w:lvlText w:val="(%3)"/>
      <w:lvlJc w:val="left"/>
      <w:pPr>
        <w:ind w:left="2160" w:hanging="720"/>
      </w:pPr>
      <w:rPr>
        <w:smallCap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9C522C"/>
    <w:multiLevelType w:val="multilevel"/>
    <w:tmpl w:val="6B26263C"/>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36" w15:restartNumberingAfterBreak="0">
    <w:nsid w:val="7BE979F1"/>
    <w:multiLevelType w:val="multilevel"/>
    <w:tmpl w:val="E4CCE31A"/>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37" w15:restartNumberingAfterBreak="0">
    <w:nsid w:val="7DB44623"/>
    <w:multiLevelType w:val="multilevel"/>
    <w:tmpl w:val="FAB6C578"/>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num w:numId="1">
    <w:abstractNumId w:val="34"/>
  </w:num>
  <w:num w:numId="2">
    <w:abstractNumId w:val="6"/>
  </w:num>
  <w:num w:numId="3">
    <w:abstractNumId w:val="31"/>
  </w:num>
  <w:num w:numId="4">
    <w:abstractNumId w:val="32"/>
  </w:num>
  <w:num w:numId="5">
    <w:abstractNumId w:val="0"/>
  </w:num>
  <w:num w:numId="6">
    <w:abstractNumId w:val="8"/>
  </w:num>
  <w:num w:numId="7">
    <w:abstractNumId w:val="10"/>
  </w:num>
  <w:num w:numId="8">
    <w:abstractNumId w:val="28"/>
  </w:num>
  <w:num w:numId="9">
    <w:abstractNumId w:val="18"/>
  </w:num>
  <w:num w:numId="10">
    <w:abstractNumId w:val="26"/>
  </w:num>
  <w:num w:numId="11">
    <w:abstractNumId w:val="15"/>
  </w:num>
  <w:num w:numId="12">
    <w:abstractNumId w:val="25"/>
  </w:num>
  <w:num w:numId="13">
    <w:abstractNumId w:val="21"/>
  </w:num>
  <w:num w:numId="14">
    <w:abstractNumId w:val="7"/>
  </w:num>
  <w:num w:numId="15">
    <w:abstractNumId w:val="35"/>
  </w:num>
  <w:num w:numId="16">
    <w:abstractNumId w:val="14"/>
  </w:num>
  <w:num w:numId="17">
    <w:abstractNumId w:val="17"/>
  </w:num>
  <w:num w:numId="18">
    <w:abstractNumId w:val="16"/>
  </w:num>
  <w:num w:numId="19">
    <w:abstractNumId w:val="4"/>
  </w:num>
  <w:num w:numId="20">
    <w:abstractNumId w:val="20"/>
  </w:num>
  <w:num w:numId="21">
    <w:abstractNumId w:val="12"/>
  </w:num>
  <w:num w:numId="22">
    <w:abstractNumId w:val="2"/>
  </w:num>
  <w:num w:numId="23">
    <w:abstractNumId w:val="36"/>
  </w:num>
  <w:num w:numId="24">
    <w:abstractNumId w:val="5"/>
  </w:num>
  <w:num w:numId="25">
    <w:abstractNumId w:val="33"/>
  </w:num>
  <w:num w:numId="26">
    <w:abstractNumId w:val="9"/>
  </w:num>
  <w:num w:numId="27">
    <w:abstractNumId w:val="27"/>
  </w:num>
  <w:num w:numId="28">
    <w:abstractNumId w:val="37"/>
  </w:num>
  <w:num w:numId="29">
    <w:abstractNumId w:val="3"/>
  </w:num>
  <w:num w:numId="30">
    <w:abstractNumId w:val="24"/>
  </w:num>
  <w:num w:numId="31">
    <w:abstractNumId w:val="23"/>
  </w:num>
  <w:num w:numId="32">
    <w:abstractNumId w:val="22"/>
  </w:num>
  <w:num w:numId="33">
    <w:abstractNumId w:val="13"/>
  </w:num>
  <w:num w:numId="34">
    <w:abstractNumId w:val="29"/>
  </w:num>
  <w:num w:numId="35">
    <w:abstractNumId w:val="19"/>
  </w:num>
  <w:num w:numId="36">
    <w:abstractNumId w:val="30"/>
  </w:num>
  <w:num w:numId="37">
    <w:abstractNumId w:val="1"/>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C24"/>
    <w:rsid w:val="001D0A32"/>
    <w:rsid w:val="004C2B0D"/>
    <w:rsid w:val="005F4C24"/>
    <w:rsid w:val="00673F50"/>
    <w:rsid w:val="00AF5FC1"/>
    <w:rsid w:val="00B46A7D"/>
    <w:rsid w:val="00B93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EF5FBD-0EEB-48AA-A4F9-84F5D586A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pPr>
        <w:spacing w:after="24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pBdr>
        <w:top w:val="nil"/>
        <w:left w:val="nil"/>
        <w:bottom w:val="nil"/>
        <w:right w:val="nil"/>
        <w:between w:val="nil"/>
      </w:pBdr>
      <w:spacing w:before="360"/>
      <w:ind w:left="720" w:hanging="720"/>
      <w:outlineLvl w:val="0"/>
    </w:pPr>
    <w:rPr>
      <w:b/>
      <w:color w:val="000000"/>
      <w:sz w:val="24"/>
      <w:szCs w:val="24"/>
    </w:rPr>
  </w:style>
  <w:style w:type="paragraph" w:styleId="Heading2">
    <w:name w:val="heading 2"/>
    <w:basedOn w:val="Normal"/>
    <w:next w:val="Normal"/>
    <w:uiPriority w:val="9"/>
    <w:unhideWhenUsed/>
    <w:qFormat/>
    <w:pPr>
      <w:pBdr>
        <w:top w:val="nil"/>
        <w:left w:val="nil"/>
        <w:bottom w:val="nil"/>
        <w:right w:val="nil"/>
        <w:between w:val="nil"/>
      </w:pBdr>
      <w:ind w:left="720" w:hanging="720"/>
      <w:outlineLvl w:val="1"/>
    </w:pPr>
    <w:rPr>
      <w:color w:val="000000"/>
    </w:rPr>
  </w:style>
  <w:style w:type="paragraph" w:styleId="Heading3">
    <w:name w:val="heading 3"/>
    <w:basedOn w:val="Normal"/>
    <w:next w:val="Normal"/>
    <w:uiPriority w:val="9"/>
    <w:unhideWhenUsed/>
    <w:qFormat/>
    <w:pPr>
      <w:pBdr>
        <w:top w:val="nil"/>
        <w:left w:val="nil"/>
        <w:bottom w:val="nil"/>
        <w:right w:val="nil"/>
        <w:between w:val="nil"/>
      </w:pBdr>
      <w:ind w:left="1440" w:hanging="720"/>
      <w:outlineLvl w:val="2"/>
    </w:pPr>
    <w:rPr>
      <w:color w:val="000000"/>
    </w:rPr>
  </w:style>
  <w:style w:type="paragraph" w:styleId="Heading4">
    <w:name w:val="heading 4"/>
    <w:basedOn w:val="Normal"/>
    <w:next w:val="Normal"/>
    <w:uiPriority w:val="9"/>
    <w:unhideWhenUsed/>
    <w:qFormat/>
    <w:pPr>
      <w:pBdr>
        <w:top w:val="nil"/>
        <w:left w:val="nil"/>
        <w:bottom w:val="nil"/>
        <w:right w:val="nil"/>
        <w:between w:val="nil"/>
      </w:pBdr>
      <w:ind w:left="2160" w:hanging="720"/>
      <w:outlineLvl w:val="3"/>
    </w:pPr>
    <w:rPr>
      <w:color w:val="000000"/>
    </w:rPr>
  </w:style>
  <w:style w:type="paragraph" w:styleId="Heading5">
    <w:name w:val="heading 5"/>
    <w:basedOn w:val="Normal"/>
    <w:next w:val="Normal"/>
    <w:uiPriority w:val="9"/>
    <w:unhideWhenUsed/>
    <w:qFormat/>
    <w:pPr>
      <w:pBdr>
        <w:top w:val="nil"/>
        <w:left w:val="nil"/>
        <w:bottom w:val="nil"/>
        <w:right w:val="nil"/>
        <w:between w:val="nil"/>
      </w:pBdr>
      <w:ind w:left="2880" w:hanging="720"/>
      <w:outlineLvl w:val="4"/>
    </w:pPr>
    <w:rPr>
      <w:color w:val="000000"/>
    </w:rPr>
  </w:style>
  <w:style w:type="paragraph" w:styleId="Heading6">
    <w:name w:val="heading 6"/>
    <w:basedOn w:val="Normal"/>
    <w:next w:val="Normal"/>
    <w:uiPriority w:val="9"/>
    <w:unhideWhenUsed/>
    <w:qFormat/>
    <w:pPr>
      <w:pBdr>
        <w:top w:val="nil"/>
        <w:left w:val="nil"/>
        <w:bottom w:val="nil"/>
        <w:right w:val="nil"/>
        <w:between w:val="nil"/>
      </w:pBdr>
      <w:ind w:left="3600" w:hanging="720"/>
      <w:outlineLvl w:val="5"/>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pPr>
    <w:rPr>
      <w:rFonts w:ascii="Cambria" w:eastAsia="Cambria" w:hAnsi="Cambria" w:cs="Cambria"/>
      <w:color w:val="000000"/>
      <w:sz w:val="58"/>
      <w:szCs w:val="58"/>
    </w:rPr>
  </w:style>
  <w:style w:type="paragraph" w:styleId="Subtitle">
    <w:name w:val="Subtitle"/>
    <w:basedOn w:val="Normal"/>
    <w:next w:val="Normal"/>
    <w:uiPriority w:val="11"/>
    <w:qFormat/>
    <w:pPr>
      <w:pBdr>
        <w:top w:val="nil"/>
        <w:left w:val="nil"/>
        <w:bottom w:val="nil"/>
        <w:right w:val="nil"/>
        <w:between w:val="nil"/>
      </w:pBdr>
    </w:pPr>
    <w:rPr>
      <w:color w:val="7D7D7D"/>
      <w:sz w:val="32"/>
      <w:szCs w:val="32"/>
    </w:rPr>
  </w:style>
  <w:style w:type="table" w:customStyle="1" w:styleId="a">
    <w:basedOn w:val="TableNormal"/>
    <w:pPr>
      <w:spacing w:after="0"/>
    </w:pPr>
    <w:rPr>
      <w:rFonts w:ascii="Calibri" w:eastAsia="Calibri" w:hAnsi="Calibri" w:cs="Calibri"/>
      <w:b/>
      <w:color w:val="FFFFFF"/>
    </w:rPr>
    <w:tblPr>
      <w:tblStyleRowBandSize w:val="1"/>
      <w:tblStyleColBandSize w:val="1"/>
      <w:tblCellMar>
        <w:left w:w="0" w:type="dxa"/>
        <w:right w:w="0" w:type="dxa"/>
      </w:tblCellMar>
    </w:tblPr>
    <w:tcPr>
      <w:shd w:val="clear" w:color="auto" w:fill="auto"/>
    </w:tcPr>
  </w:style>
  <w:style w:type="table" w:customStyle="1" w:styleId="a0">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1">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2">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3">
    <w:basedOn w:val="TableNormal"/>
    <w:pPr>
      <w:spacing w:after="0"/>
    </w:pPr>
    <w:rPr>
      <w:rFonts w:ascii="Calibri" w:eastAsia="Calibri" w:hAnsi="Calibri" w:cs="Calibri"/>
      <w:b/>
      <w:color w:val="FFFFFF"/>
    </w:rPr>
    <w:tblPr>
      <w:tblStyleRowBandSize w:val="1"/>
      <w:tblStyleColBandSize w:val="1"/>
      <w:tblCellMar>
        <w:left w:w="0" w:type="dxa"/>
        <w:right w:w="0" w:type="dxa"/>
      </w:tblCellMar>
    </w:tblPr>
    <w:tcPr>
      <w:shd w:val="clear" w:color="auto" w:fill="auto"/>
    </w:tc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0" w:type="dxa"/>
        <w:right w:w="0"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8">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9">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a">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b">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c">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d">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e">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0">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1">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2">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3">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4">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5">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6">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7">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8">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9">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a">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b">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c">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d">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 w:type="table" w:customStyle="1" w:styleId="affe">
    <w:basedOn w:val="TableNormal"/>
    <w:pPr>
      <w:spacing w:after="0"/>
    </w:pPr>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ncsc.gov.uk/collection/device-security-guidance" TargetMode="External"/><Relationship Id="rId18" Type="http://schemas.openxmlformats.org/officeDocument/2006/relationships/footer" Target="footer3.xml"/><Relationship Id="rId26" Type="http://schemas.openxmlformats.org/officeDocument/2006/relationships/footer" Target="footer6.xml"/><Relationship Id="rId39" Type="http://schemas.openxmlformats.org/officeDocument/2006/relationships/header" Target="header10.xml"/><Relationship Id="rId21" Type="http://schemas.openxmlformats.org/officeDocument/2006/relationships/header" Target="header2.xml"/><Relationship Id="rId34" Type="http://schemas.openxmlformats.org/officeDocument/2006/relationships/footer" Target="footer10.xml"/><Relationship Id="rId42" Type="http://schemas.openxmlformats.org/officeDocument/2006/relationships/header" Target="header11.xml"/><Relationship Id="rId47" Type="http://schemas.openxmlformats.org/officeDocument/2006/relationships/footer" Target="footer17.xml"/><Relationship Id="rId50" Type="http://schemas.openxmlformats.org/officeDocument/2006/relationships/header" Target="header15.xml"/><Relationship Id="rId55" Type="http://schemas.openxmlformats.org/officeDocument/2006/relationships/header" Target="header18.xml"/><Relationship Id="rId63" Type="http://schemas.openxmlformats.org/officeDocument/2006/relationships/footer" Target="footer2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owasp.org/www-project-secure-coding-practices-quick-reference-guide/" TargetMode="Externa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collection/caf/cyber-assessment-framework" TargetMode="External"/><Relationship Id="rId24" Type="http://schemas.openxmlformats.org/officeDocument/2006/relationships/footer" Target="footer5.xml"/><Relationship Id="rId32" Type="http://schemas.openxmlformats.org/officeDocument/2006/relationships/footer" Target="footer9.xml"/><Relationship Id="rId37" Type="http://schemas.openxmlformats.org/officeDocument/2006/relationships/header" Target="header9.xml"/><Relationship Id="rId40" Type="http://schemas.openxmlformats.org/officeDocument/2006/relationships/footer" Target="footer13.xml"/><Relationship Id="rId45" Type="http://schemas.openxmlformats.org/officeDocument/2006/relationships/header" Target="header13.xml"/><Relationship Id="rId53" Type="http://schemas.openxmlformats.org/officeDocument/2006/relationships/header" Target="header17.xml"/><Relationship Id="rId58" Type="http://schemas.openxmlformats.org/officeDocument/2006/relationships/header" Target="header20.xm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ncsc.gov.uk/collection/cyber-security-design-principles" TargetMode="External"/><Relationship Id="rId23" Type="http://schemas.openxmlformats.org/officeDocument/2006/relationships/footer" Target="footer4.xml"/><Relationship Id="rId28" Type="http://schemas.openxmlformats.org/officeDocument/2006/relationships/header" Target="header6.xml"/><Relationship Id="rId36" Type="http://schemas.openxmlformats.org/officeDocument/2006/relationships/footer" Target="footer11.xml"/><Relationship Id="rId49" Type="http://schemas.openxmlformats.org/officeDocument/2006/relationships/footer" Target="footer18.xml"/><Relationship Id="rId57" Type="http://schemas.openxmlformats.org/officeDocument/2006/relationships/footer" Target="footer21.xml"/><Relationship Id="rId61" Type="http://schemas.openxmlformats.org/officeDocument/2006/relationships/header" Target="header22.xml"/><Relationship Id="rId10" Type="http://schemas.openxmlformats.org/officeDocument/2006/relationships/footer" Target="footer2.xml"/><Relationship Id="rId19" Type="http://schemas.openxmlformats.org/officeDocument/2006/relationships/hyperlink" Target="https://www.gov.uk/guidance/securing-government-email" TargetMode="External"/><Relationship Id="rId31" Type="http://schemas.openxmlformats.org/officeDocument/2006/relationships/header" Target="header7.xml"/><Relationship Id="rId44" Type="http://schemas.openxmlformats.org/officeDocument/2006/relationships/header" Target="header12.xml"/><Relationship Id="rId52" Type="http://schemas.openxmlformats.org/officeDocument/2006/relationships/footer" Target="footer19.xml"/><Relationship Id="rId60" Type="http://schemas.openxmlformats.org/officeDocument/2006/relationships/header" Target="header21.xml"/><Relationship Id="rId65" Type="http://schemas.openxmlformats.org/officeDocument/2006/relationships/footer" Target="footer2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ncsc.gov.uk/collection/protecting-bulk-personal-data" TargetMode="External"/><Relationship Id="rId22" Type="http://schemas.openxmlformats.org/officeDocument/2006/relationships/header" Target="header3.xml"/><Relationship Id="rId27" Type="http://schemas.openxmlformats.org/officeDocument/2006/relationships/header" Target="header5.xml"/><Relationship Id="rId30" Type="http://schemas.openxmlformats.org/officeDocument/2006/relationships/footer" Target="footer8.xml"/><Relationship Id="rId35" Type="http://schemas.openxmlformats.org/officeDocument/2006/relationships/image" Target="media/image1.png"/><Relationship Id="rId43" Type="http://schemas.openxmlformats.org/officeDocument/2006/relationships/footer" Target="footer15.xml"/><Relationship Id="rId48" Type="http://schemas.openxmlformats.org/officeDocument/2006/relationships/header" Target="header14.xml"/><Relationship Id="rId56" Type="http://schemas.openxmlformats.org/officeDocument/2006/relationships/header" Target="header19.xml"/><Relationship Id="rId64" Type="http://schemas.openxmlformats.org/officeDocument/2006/relationships/header" Target="header23.xml"/><Relationship Id="rId8" Type="http://schemas.openxmlformats.org/officeDocument/2006/relationships/header" Target="header1.xml"/><Relationship Id="rId51" Type="http://schemas.openxmlformats.org/officeDocument/2006/relationships/header" Target="header16.xml"/><Relationship Id="rId3" Type="http://schemas.openxmlformats.org/officeDocument/2006/relationships/styles" Target="styles.xml"/><Relationship Id="rId12" Type="http://schemas.openxmlformats.org/officeDocument/2006/relationships/hyperlink" Target="https://assets.publishing.service.gov.uk/government/uploads/system/uploads/attachment_data/file/714002/HMG_Baseline_Personnel_Security_Standard_-_May_2018.pdf" TargetMode="External"/><Relationship Id="rId17" Type="http://schemas.openxmlformats.org/officeDocument/2006/relationships/hyperlink" Target="https://owasp.org/www-project-top-ten/" TargetMode="External"/><Relationship Id="rId25" Type="http://schemas.openxmlformats.org/officeDocument/2006/relationships/header" Target="header4.xml"/><Relationship Id="rId33" Type="http://schemas.openxmlformats.org/officeDocument/2006/relationships/header" Target="header8.xml"/><Relationship Id="rId38" Type="http://schemas.openxmlformats.org/officeDocument/2006/relationships/footer" Target="footer12.xml"/><Relationship Id="rId46" Type="http://schemas.openxmlformats.org/officeDocument/2006/relationships/footer" Target="footer16.xml"/><Relationship Id="rId59" Type="http://schemas.openxmlformats.org/officeDocument/2006/relationships/footer" Target="footer22.xml"/><Relationship Id="rId67" Type="http://schemas.openxmlformats.org/officeDocument/2006/relationships/theme" Target="theme/theme1.xml"/><Relationship Id="rId20" Type="http://schemas.openxmlformats.org/officeDocument/2006/relationships/hyperlink" Target="https://www.ncsc.gov.uk/collection/email-security-and-anti-spoofing" TargetMode="External"/><Relationship Id="rId41" Type="http://schemas.openxmlformats.org/officeDocument/2006/relationships/footer" Target="footer14.xml"/><Relationship Id="rId54" Type="http://schemas.openxmlformats.org/officeDocument/2006/relationships/footer" Target="footer20.xml"/><Relationship Id="rId62" Type="http://schemas.openxmlformats.org/officeDocument/2006/relationships/footer" Target="footer2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q5P0y1zHohahQi6hM/WDs3yXNg==">CgMxLjAyCGguZ2pkZ3hzMgloLjFmb2I5dGUyCmlkLjI2aW4xcmcyCmlkLjFrc3Y0dXYyCmlkLjM1bmt1bjIyCWlkLmxueGJ6OTIJaC40NHNpbmlv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78</Pages>
  <Words>20554</Words>
  <Characters>117162</Characters>
  <Application>Microsoft Office Word</Application>
  <DocSecurity>0</DocSecurity>
  <Lines>976</Lines>
  <Paragraphs>274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Cheryl Hemsley</dc:creator>
  <cp:lastModifiedBy>Cheryl Hemsley</cp:lastModifiedBy>
  <cp:revision>2</cp:revision>
  <dcterms:created xsi:type="dcterms:W3CDTF">2024-06-10T11:34:00Z</dcterms:created>
  <dcterms:modified xsi:type="dcterms:W3CDTF">2024-06-10T11:34:00Z</dcterms:modified>
</cp:coreProperties>
</file>